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5ECF1C" w14:textId="6FB12425"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5D4E67">
        <w:rPr>
          <w:rFonts w:eastAsia="宋体" w:cs="Arial"/>
          <w:sz w:val="22"/>
          <w:szCs w:val="22"/>
          <w:lang w:eastAsia="zh-CN"/>
        </w:rPr>
        <w:t>3</w:t>
      </w:r>
      <w:r w:rsidR="00F81F45">
        <w:rPr>
          <w:rFonts w:eastAsia="宋体" w:cs="Arial"/>
          <w:sz w:val="22"/>
          <w:szCs w:val="22"/>
          <w:lang w:eastAsia="zh-CN"/>
        </w:rPr>
        <w:t>bis</w:t>
      </w:r>
      <w:r w:rsidR="007D1275" w:rsidRPr="00E81DE7">
        <w:rPr>
          <w:rFonts w:eastAsia="宋体" w:cs="Arial"/>
          <w:sz w:val="22"/>
          <w:szCs w:val="22"/>
          <w:lang w:eastAsia="zh-CN"/>
        </w:rPr>
        <w:t xml:space="preserve"> </w:t>
      </w:r>
      <w:r w:rsidRPr="00E81DE7">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421B12" w:rsidRPr="00421B12">
        <w:rPr>
          <w:rFonts w:cs="Arial"/>
          <w:bCs/>
          <w:sz w:val="22"/>
          <w:szCs w:val="22"/>
        </w:rPr>
        <w:t>R2-2103377</w:t>
      </w:r>
    </w:p>
    <w:bookmarkEnd w:id="0"/>
    <w:p w14:paraId="3F875BD3" w14:textId="77777777" w:rsidR="004A5DE9" w:rsidRDefault="004A5DE9" w:rsidP="004A5DE9">
      <w:pPr>
        <w:pStyle w:val="a5"/>
        <w:rPr>
          <w:rFonts w:eastAsiaTheme="minorEastAsia" w:cs="Arial"/>
          <w:sz w:val="22"/>
          <w:szCs w:val="22"/>
          <w:lang w:eastAsia="zh-CN"/>
        </w:rPr>
      </w:pPr>
      <w:r>
        <w:rPr>
          <w:rFonts w:cs="Arial"/>
          <w:bCs/>
          <w:sz w:val="22"/>
          <w:szCs w:val="22"/>
        </w:rPr>
        <w:t>E-Meeting, 12</w:t>
      </w:r>
      <w:r>
        <w:rPr>
          <w:rFonts w:cs="Arial"/>
          <w:bCs/>
          <w:sz w:val="22"/>
          <w:szCs w:val="22"/>
          <w:vertAlign w:val="superscript"/>
        </w:rPr>
        <w:t>th</w:t>
      </w:r>
      <w:r>
        <w:rPr>
          <w:rFonts w:cs="Arial"/>
          <w:bCs/>
          <w:sz w:val="22"/>
          <w:szCs w:val="22"/>
        </w:rPr>
        <w:t xml:space="preserve"> – 20</w:t>
      </w:r>
      <w:r w:rsidRPr="007E608F">
        <w:rPr>
          <w:rFonts w:cs="Arial"/>
          <w:bCs/>
          <w:sz w:val="22"/>
          <w:szCs w:val="22"/>
          <w:vertAlign w:val="superscript"/>
        </w:rPr>
        <w:t>th</w:t>
      </w:r>
      <w:r>
        <w:rPr>
          <w:rFonts w:cs="Arial"/>
          <w:bCs/>
          <w:sz w:val="22"/>
          <w:szCs w:val="22"/>
        </w:rPr>
        <w:t xml:space="preserve"> April, 2021</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2DD4DF3A"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2A4537">
        <w:rPr>
          <w:rFonts w:eastAsia="宋体"/>
          <w:sz w:val="22"/>
          <w:lang w:eastAsia="zh-CN"/>
        </w:rPr>
        <w:t xml:space="preserve">QoE </w:t>
      </w:r>
      <w:r w:rsidR="00403025">
        <w:rPr>
          <w:rFonts w:eastAsia="宋体"/>
          <w:sz w:val="22"/>
          <w:lang w:eastAsia="zh-CN"/>
        </w:rPr>
        <w:t xml:space="preserve">measurement </w:t>
      </w:r>
      <w:r w:rsidR="002A4537">
        <w:rPr>
          <w:rFonts w:eastAsia="宋体"/>
          <w:sz w:val="22"/>
          <w:lang w:eastAsia="zh-CN"/>
        </w:rPr>
        <w:t>configuration and reporting</w:t>
      </w:r>
    </w:p>
    <w:p w14:paraId="785EBA47" w14:textId="4D985E5E"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CF63D3">
        <w:rPr>
          <w:rFonts w:eastAsia="宋体"/>
          <w:sz w:val="22"/>
          <w:lang w:eastAsia="zh-CN"/>
        </w:rPr>
        <w:t>8.</w:t>
      </w:r>
      <w:r w:rsidR="005D4E67">
        <w:rPr>
          <w:rFonts w:eastAsia="宋体"/>
          <w:sz w:val="22"/>
          <w:lang w:eastAsia="zh-CN"/>
        </w:rPr>
        <w:t>14</w:t>
      </w:r>
      <w:r w:rsidR="003C7AC1">
        <w:rPr>
          <w:rFonts w:eastAsia="宋体"/>
          <w:sz w:val="22"/>
          <w:lang w:eastAsia="zh-CN"/>
        </w:rPr>
        <w:t>.</w:t>
      </w:r>
      <w:r w:rsidR="006000C8">
        <w:rPr>
          <w:rFonts w:eastAsia="宋体"/>
          <w:sz w:val="22"/>
          <w:lang w:eastAsia="zh-CN"/>
        </w:rPr>
        <w:t>2.</w:t>
      </w:r>
      <w:r w:rsidR="003C7AC1">
        <w:rPr>
          <w:rFonts w:eastAsia="宋体"/>
          <w:sz w:val="22"/>
          <w:lang w:eastAsia="zh-CN"/>
        </w:rPr>
        <w:t>1</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0F71431E" w14:textId="3E1D8669" w:rsidR="004F75F4" w:rsidRDefault="00CD5A26" w:rsidP="00CD5A26">
      <w:pPr>
        <w:rPr>
          <w:szCs w:val="21"/>
        </w:rPr>
      </w:pPr>
      <w:r w:rsidRPr="00CD5A26">
        <w:rPr>
          <w:szCs w:val="21"/>
        </w:rPr>
        <w:t>A</w:t>
      </w:r>
      <w:r w:rsidR="00CE30A2">
        <w:rPr>
          <w:szCs w:val="21"/>
        </w:rPr>
        <w:t xml:space="preserve">t </w:t>
      </w:r>
      <w:r w:rsidR="004F75F4">
        <w:rPr>
          <w:szCs w:val="21"/>
        </w:rPr>
        <w:t>RAN#</w:t>
      </w:r>
      <w:r w:rsidR="003C7AC1">
        <w:rPr>
          <w:szCs w:val="21"/>
        </w:rPr>
        <w:t>91</w:t>
      </w:r>
      <w:r w:rsidR="004F75F4">
        <w:rPr>
          <w:szCs w:val="21"/>
        </w:rPr>
        <w:t xml:space="preserve"> meeting, </w:t>
      </w:r>
      <w:r w:rsidR="00E8643C">
        <w:rPr>
          <w:szCs w:val="21"/>
        </w:rPr>
        <w:t xml:space="preserve">a new </w:t>
      </w:r>
      <w:r w:rsidR="003C7AC1">
        <w:rPr>
          <w:szCs w:val="21"/>
        </w:rPr>
        <w:t>W</w:t>
      </w:r>
      <w:r w:rsidR="00E8643C">
        <w:rPr>
          <w:szCs w:val="21"/>
        </w:rPr>
        <w:t xml:space="preserve">I on </w:t>
      </w:r>
      <w:r w:rsidR="00E8643C" w:rsidRPr="005D4E67">
        <w:rPr>
          <w:szCs w:val="21"/>
        </w:rPr>
        <w:t>QoE management and optimizations for diverse services</w:t>
      </w:r>
      <w:r w:rsidR="00E8643C">
        <w:rPr>
          <w:szCs w:val="21"/>
        </w:rPr>
        <w:t xml:space="preserve"> </w:t>
      </w:r>
      <w:r w:rsidR="005D4E67">
        <w:rPr>
          <w:szCs w:val="21"/>
        </w:rPr>
        <w:t>has</w:t>
      </w:r>
      <w:r w:rsidR="00E8643C">
        <w:rPr>
          <w:szCs w:val="21"/>
        </w:rPr>
        <w:t xml:space="preserve"> </w:t>
      </w:r>
      <w:r w:rsidR="00E8643C">
        <w:rPr>
          <w:rFonts w:hint="eastAsia"/>
          <w:szCs w:val="21"/>
          <w:lang w:eastAsia="zh-CN"/>
        </w:rPr>
        <w:t>b</w:t>
      </w:r>
      <w:r w:rsidR="00E8643C">
        <w:rPr>
          <w:szCs w:val="21"/>
        </w:rPr>
        <w:t>een</w:t>
      </w:r>
      <w:r w:rsidR="005D4E67">
        <w:rPr>
          <w:szCs w:val="21"/>
        </w:rPr>
        <w:t xml:space="preserve"> approved, with the following objective [1]:</w:t>
      </w:r>
    </w:p>
    <w:tbl>
      <w:tblPr>
        <w:tblStyle w:val="aa"/>
        <w:tblW w:w="0" w:type="auto"/>
        <w:tblLook w:val="04A0" w:firstRow="1" w:lastRow="0" w:firstColumn="1" w:lastColumn="0" w:noHBand="0" w:noVBand="1"/>
      </w:tblPr>
      <w:tblGrid>
        <w:gridCol w:w="9060"/>
      </w:tblGrid>
      <w:tr w:rsidR="004F4FBA" w14:paraId="1A30FB12" w14:textId="77777777" w:rsidTr="004F4FBA">
        <w:tc>
          <w:tcPr>
            <w:tcW w:w="9060" w:type="dxa"/>
          </w:tcPr>
          <w:p w14:paraId="70885B4B" w14:textId="77777777" w:rsidR="00810BB6" w:rsidRDefault="00810BB6" w:rsidP="00810BB6">
            <w:pPr>
              <w:spacing w:afterLines="50" w:after="137"/>
              <w:jc w:val="both"/>
              <w:rPr>
                <w:bCs/>
                <w:lang w:eastAsia="zh-CN"/>
              </w:rPr>
            </w:pPr>
            <w:r>
              <w:rPr>
                <w:bCs/>
              </w:rPr>
              <w:t>The detailed objectives of the work item are as follows:</w:t>
            </w:r>
          </w:p>
          <w:p w14:paraId="3A23373F" w14:textId="77777777" w:rsidR="00810BB6" w:rsidRDefault="00810BB6" w:rsidP="00810BB6">
            <w:pPr>
              <w:numPr>
                <w:ilvl w:val="0"/>
                <w:numId w:val="38"/>
              </w:numPr>
              <w:overflowPunct w:val="0"/>
              <w:autoSpaceDE w:val="0"/>
              <w:autoSpaceDN w:val="0"/>
              <w:adjustRightInd w:val="0"/>
              <w:spacing w:after="0"/>
              <w:jc w:val="both"/>
              <w:textAlignment w:val="baseline"/>
              <w:rPr>
                <w:bCs/>
                <w:lang w:eastAsia="zh-CN"/>
              </w:rPr>
            </w:pPr>
            <w:r>
              <w:rPr>
                <w:bCs/>
                <w:lang w:eastAsia="zh-CN"/>
              </w:rPr>
              <w:t xml:space="preserve">Specify </w:t>
            </w:r>
            <w:r>
              <w:rPr>
                <w:rFonts w:hint="eastAsia"/>
                <w:bCs/>
                <w:lang w:eastAsia="zh-CN"/>
              </w:rPr>
              <w:t>the</w:t>
            </w:r>
            <w:r>
              <w:rPr>
                <w:bCs/>
                <w:lang w:eastAsia="zh-CN"/>
              </w:rPr>
              <w:t xml:space="preserve"> </w:t>
            </w:r>
            <w:r>
              <w:rPr>
                <w:rFonts w:hint="eastAsia"/>
                <w:bCs/>
                <w:lang w:eastAsia="zh-CN"/>
              </w:rPr>
              <w:t xml:space="preserve">support for QoE measurement collection in NR </w:t>
            </w:r>
            <w:r>
              <w:t>standalone</w:t>
            </w:r>
            <w:r>
              <w:rPr>
                <w:rFonts w:hint="eastAsia"/>
                <w:bCs/>
                <w:lang w:eastAsia="zh-CN"/>
              </w:rPr>
              <w:t xml:space="preserve"> mode. </w:t>
            </w:r>
            <w:r>
              <w:rPr>
                <w:bCs/>
              </w:rPr>
              <w:t>[RAN</w:t>
            </w:r>
            <w:r>
              <w:rPr>
                <w:rFonts w:hint="eastAsia"/>
                <w:bCs/>
                <w:lang w:eastAsia="zh-CN"/>
              </w:rPr>
              <w:t>2, RAN3</w:t>
            </w:r>
            <w:r>
              <w:rPr>
                <w:bCs/>
              </w:rPr>
              <w:t>]</w:t>
            </w:r>
          </w:p>
          <w:p w14:paraId="740B2E0C" w14:textId="77777777" w:rsidR="00810BB6" w:rsidRDefault="00810BB6" w:rsidP="00810BB6">
            <w:pPr>
              <w:numPr>
                <w:ilvl w:val="0"/>
                <w:numId w:val="39"/>
              </w:numPr>
              <w:overflowPunct w:val="0"/>
              <w:autoSpaceDE w:val="0"/>
              <w:autoSpaceDN w:val="0"/>
              <w:adjustRightInd w:val="0"/>
              <w:spacing w:after="0"/>
              <w:textAlignment w:val="baseline"/>
              <w:rPr>
                <w:bCs/>
                <w:lang w:eastAsia="zh-CN"/>
              </w:rPr>
            </w:pPr>
            <w:r>
              <w:rPr>
                <w:rFonts w:hint="eastAsia"/>
                <w:bCs/>
                <w:lang w:eastAsia="zh-CN"/>
              </w:rPr>
              <w:t xml:space="preserve">Specify </w:t>
            </w:r>
            <w:r>
              <w:rPr>
                <w:bCs/>
                <w:lang w:eastAsia="zh-CN"/>
              </w:rPr>
              <w:t>configuration, activation,</w:t>
            </w:r>
            <w:r>
              <w:rPr>
                <w:rFonts w:hint="eastAsia"/>
                <w:bCs/>
                <w:lang w:eastAsia="zh-CN"/>
              </w:rPr>
              <w:t xml:space="preserve"> and de</w:t>
            </w:r>
            <w:r>
              <w:rPr>
                <w:bCs/>
                <w:lang w:eastAsia="zh-CN"/>
              </w:rPr>
              <w:t>activation</w:t>
            </w:r>
            <w:r>
              <w:rPr>
                <w:rFonts w:hint="eastAsia"/>
                <w:bCs/>
                <w:lang w:eastAsia="zh-CN"/>
              </w:rPr>
              <w:t xml:space="preserve"> procedures for both s</w:t>
            </w:r>
            <w:r>
              <w:rPr>
                <w:bCs/>
                <w:lang w:eastAsia="zh-CN"/>
              </w:rPr>
              <w:t>ignalling-based</w:t>
            </w:r>
            <w:r>
              <w:rPr>
                <w:rFonts w:hint="eastAsia"/>
                <w:bCs/>
                <w:lang w:eastAsia="zh-CN"/>
              </w:rPr>
              <w:t xml:space="preserve"> and management</w:t>
            </w:r>
            <w:r>
              <w:rPr>
                <w:bCs/>
                <w:lang w:eastAsia="zh-CN"/>
              </w:rPr>
              <w:t>-based</w:t>
            </w:r>
            <w:r>
              <w:rPr>
                <w:rFonts w:hint="eastAsia"/>
                <w:bCs/>
                <w:lang w:eastAsia="zh-CN"/>
              </w:rPr>
              <w:t xml:space="preserve"> QoE measurement</w:t>
            </w:r>
            <w:r>
              <w:rPr>
                <w:bCs/>
                <w:lang w:eastAsia="zh-CN"/>
              </w:rPr>
              <w:t xml:space="preserve"> collection and reporting, </w:t>
            </w:r>
            <w:r>
              <w:rPr>
                <w:rFonts w:hint="eastAsia"/>
                <w:bCs/>
                <w:lang w:eastAsia="zh-CN"/>
              </w:rPr>
              <w:t xml:space="preserve">taking </w:t>
            </w:r>
            <w:r>
              <w:rPr>
                <w:rFonts w:hint="eastAsia"/>
              </w:rPr>
              <w:t>LTE QoE sol</w:t>
            </w:r>
            <w:r>
              <w:t xml:space="preserve">utions </w:t>
            </w:r>
            <w:r>
              <w:rPr>
                <w:rFonts w:hint="eastAsia"/>
              </w:rPr>
              <w:t>as baseline</w:t>
            </w:r>
            <w:r>
              <w:t>, as defined in TR 38.890</w:t>
            </w:r>
            <w:r>
              <w:rPr>
                <w:rFonts w:hint="eastAsia"/>
                <w:bCs/>
                <w:lang w:eastAsia="zh-CN"/>
              </w:rPr>
              <w:t>.</w:t>
            </w:r>
          </w:p>
          <w:p w14:paraId="6BF26B1B" w14:textId="77777777" w:rsidR="00810BB6" w:rsidRPr="00810BB6" w:rsidRDefault="00810BB6" w:rsidP="00810BB6">
            <w:pPr>
              <w:numPr>
                <w:ilvl w:val="0"/>
                <w:numId w:val="39"/>
              </w:numPr>
              <w:overflowPunct w:val="0"/>
              <w:autoSpaceDE w:val="0"/>
              <w:autoSpaceDN w:val="0"/>
              <w:adjustRightInd w:val="0"/>
              <w:spacing w:after="0"/>
              <w:textAlignment w:val="baseline"/>
              <w:rPr>
                <w:bCs/>
                <w:highlight w:val="yellow"/>
                <w:lang w:eastAsia="zh-CN"/>
              </w:rPr>
            </w:pPr>
            <w:r w:rsidRPr="00810BB6">
              <w:rPr>
                <w:rFonts w:hint="eastAsia"/>
                <w:bCs/>
                <w:highlight w:val="yellow"/>
                <w:lang w:eastAsia="zh-CN"/>
              </w:rPr>
              <w:t xml:space="preserve">Specify </w:t>
            </w:r>
            <w:r w:rsidRPr="00810BB6">
              <w:rPr>
                <w:rFonts w:hint="eastAsia"/>
                <w:highlight w:val="yellow"/>
                <w:lang w:eastAsia="zh-CN"/>
              </w:rPr>
              <w:t>c</w:t>
            </w:r>
            <w:r w:rsidRPr="00810BB6">
              <w:rPr>
                <w:highlight w:val="yellow"/>
                <w:lang w:eastAsia="zh-CN"/>
              </w:rPr>
              <w:t xml:space="preserve">onfiguration and </w:t>
            </w:r>
            <w:r w:rsidRPr="00810BB6">
              <w:rPr>
                <w:rFonts w:hint="eastAsia"/>
                <w:highlight w:val="yellow"/>
                <w:lang w:eastAsia="zh-CN"/>
              </w:rPr>
              <w:t>r</w:t>
            </w:r>
            <w:r w:rsidRPr="00810BB6">
              <w:rPr>
                <w:highlight w:val="yellow"/>
                <w:lang w:eastAsia="zh-CN"/>
              </w:rPr>
              <w:t>eporting for multiple simultaneous QoE measurements</w:t>
            </w:r>
            <w:r w:rsidRPr="00810BB6">
              <w:rPr>
                <w:rFonts w:hint="eastAsia"/>
                <w:highlight w:val="yellow"/>
                <w:lang w:eastAsia="zh-CN"/>
              </w:rPr>
              <w:t xml:space="preserve"> at a UE.</w:t>
            </w:r>
          </w:p>
          <w:p w14:paraId="4E03E89D" w14:textId="77777777" w:rsidR="00810BB6" w:rsidRPr="00810BB6" w:rsidRDefault="00810BB6" w:rsidP="00810BB6">
            <w:pPr>
              <w:numPr>
                <w:ilvl w:val="0"/>
                <w:numId w:val="39"/>
              </w:numPr>
              <w:overflowPunct w:val="0"/>
              <w:autoSpaceDE w:val="0"/>
              <w:autoSpaceDN w:val="0"/>
              <w:adjustRightInd w:val="0"/>
              <w:spacing w:after="0"/>
              <w:textAlignment w:val="baseline"/>
              <w:rPr>
                <w:bCs/>
                <w:highlight w:val="yellow"/>
                <w:lang w:eastAsia="zh-CN"/>
              </w:rPr>
            </w:pPr>
            <w:r w:rsidRPr="00810BB6">
              <w:rPr>
                <w:rFonts w:hint="eastAsia"/>
                <w:bCs/>
                <w:highlight w:val="yellow"/>
                <w:lang w:eastAsia="zh-CN"/>
              </w:rPr>
              <w:t xml:space="preserve">Specify </w:t>
            </w:r>
            <w:r w:rsidRPr="00810BB6">
              <w:rPr>
                <w:bCs/>
                <w:highlight w:val="yellow"/>
                <w:lang w:eastAsia="zh-CN"/>
              </w:rPr>
              <w:t>QoE measurement handling at RAN overload</w:t>
            </w:r>
            <w:r w:rsidRPr="00810BB6">
              <w:rPr>
                <w:rFonts w:hint="eastAsia"/>
                <w:bCs/>
                <w:highlight w:val="yellow"/>
                <w:lang w:eastAsia="zh-CN"/>
              </w:rPr>
              <w:t>, including</w:t>
            </w:r>
            <w:r w:rsidRPr="00810BB6">
              <w:rPr>
                <w:highlight w:val="yellow"/>
                <w:lang w:eastAsia="zh-CN"/>
              </w:rPr>
              <w:t xml:space="preserve"> pause</w:t>
            </w:r>
            <w:r w:rsidRPr="00810BB6">
              <w:rPr>
                <w:rFonts w:hint="eastAsia"/>
                <w:highlight w:val="yellow"/>
                <w:lang w:eastAsia="zh-CN"/>
              </w:rPr>
              <w:t xml:space="preserve"> and resume of</w:t>
            </w:r>
            <w:r w:rsidRPr="00810BB6">
              <w:rPr>
                <w:highlight w:val="yellow"/>
                <w:lang w:eastAsia="zh-CN"/>
              </w:rPr>
              <w:t xml:space="preserve"> QoE measurement reporting</w:t>
            </w:r>
            <w:r w:rsidRPr="00810BB6">
              <w:rPr>
                <w:rFonts w:hint="eastAsia"/>
                <w:highlight w:val="yellow"/>
                <w:lang w:eastAsia="zh-CN"/>
              </w:rPr>
              <w:t>.</w:t>
            </w:r>
          </w:p>
          <w:p w14:paraId="06FFA7FB" w14:textId="77777777" w:rsidR="00810BB6" w:rsidRDefault="00810BB6" w:rsidP="00810BB6">
            <w:pPr>
              <w:numPr>
                <w:ilvl w:val="0"/>
                <w:numId w:val="39"/>
              </w:numPr>
              <w:overflowPunct w:val="0"/>
              <w:autoSpaceDE w:val="0"/>
              <w:autoSpaceDN w:val="0"/>
              <w:adjustRightInd w:val="0"/>
              <w:spacing w:after="0"/>
              <w:textAlignment w:val="baseline"/>
              <w:rPr>
                <w:bCs/>
                <w:lang w:eastAsia="zh-CN"/>
              </w:rPr>
            </w:pPr>
            <w:r>
              <w:rPr>
                <w:rFonts w:hint="eastAsia"/>
                <w:bCs/>
                <w:lang w:eastAsia="zh-CN"/>
              </w:rPr>
              <w:t xml:space="preserve">Specify </w:t>
            </w:r>
            <w:r>
              <w:rPr>
                <w:bCs/>
                <w:lang w:eastAsia="zh-CN"/>
              </w:rPr>
              <w:t>QoE measurement handling in RRC_INACTIVE, i.e.</w:t>
            </w:r>
            <w:r w:rsidDel="00F0645C">
              <w:rPr>
                <w:bCs/>
                <w:lang w:eastAsia="zh-CN"/>
              </w:rPr>
              <w:t xml:space="preserve"> </w:t>
            </w:r>
            <w:r>
              <w:rPr>
                <w:bCs/>
                <w:lang w:eastAsia="zh-CN"/>
              </w:rPr>
              <w:t xml:space="preserve">keeping the QoE measurement configuration without measuring and reusing the same configuration upon </w:t>
            </w:r>
            <w:r>
              <w:rPr>
                <w:rFonts w:hint="eastAsia"/>
                <w:bCs/>
                <w:lang w:eastAsia="zh-CN"/>
              </w:rPr>
              <w:t>transition</w:t>
            </w:r>
            <w:r>
              <w:rPr>
                <w:bCs/>
                <w:lang w:eastAsia="zh-CN"/>
              </w:rPr>
              <w:t xml:space="preserve"> from RRC_INACTIVE to RRC_CONNECTED</w:t>
            </w:r>
            <w:r>
              <w:rPr>
                <w:rFonts w:hint="eastAsia"/>
                <w:bCs/>
                <w:lang w:eastAsia="zh-CN"/>
              </w:rPr>
              <w:t>.</w:t>
            </w:r>
          </w:p>
          <w:p w14:paraId="18DBEC9A" w14:textId="77777777" w:rsidR="00810BB6" w:rsidRDefault="00810BB6" w:rsidP="00810BB6">
            <w:pPr>
              <w:spacing w:after="0"/>
              <w:ind w:left="420"/>
              <w:rPr>
                <w:bCs/>
                <w:lang w:eastAsia="zh-CN"/>
              </w:rPr>
            </w:pPr>
            <w:r>
              <w:rPr>
                <w:bCs/>
                <w:lang w:eastAsia="zh-CN"/>
              </w:rPr>
              <w:t>NOTE: RRC segmentation may be needed for transmission of QoE reports, and any potential solutions need detailed technical specification of the procedures</w:t>
            </w:r>
            <w:r>
              <w:rPr>
                <w:rFonts w:hint="eastAsia"/>
                <w:bCs/>
                <w:lang w:eastAsia="zh-CN"/>
              </w:rPr>
              <w:t xml:space="preserve"> </w:t>
            </w:r>
            <w:r>
              <w:rPr>
                <w:bCs/>
                <w:lang w:eastAsia="zh-CN"/>
              </w:rPr>
              <w:t>(</w:t>
            </w:r>
            <w:r>
              <w:rPr>
                <w:rFonts w:hint="eastAsia"/>
                <w:bCs/>
                <w:lang w:eastAsia="zh-CN"/>
              </w:rPr>
              <w:t>if time allow</w:t>
            </w:r>
            <w:r>
              <w:rPr>
                <w:bCs/>
                <w:lang w:eastAsia="zh-CN"/>
              </w:rPr>
              <w:t>s</w:t>
            </w:r>
            <w:r>
              <w:rPr>
                <w:rFonts w:hint="eastAsia"/>
                <w:bCs/>
                <w:lang w:eastAsia="zh-CN"/>
              </w:rPr>
              <w:t xml:space="preserve"> in RAN2</w:t>
            </w:r>
            <w:r>
              <w:rPr>
                <w:bCs/>
                <w:lang w:eastAsia="zh-CN"/>
              </w:rPr>
              <w:t>).</w:t>
            </w:r>
          </w:p>
          <w:p w14:paraId="48108E10" w14:textId="77777777" w:rsidR="00810BB6" w:rsidRDefault="00810BB6" w:rsidP="00810BB6">
            <w:pPr>
              <w:numPr>
                <w:ilvl w:val="0"/>
                <w:numId w:val="38"/>
              </w:numPr>
              <w:overflowPunct w:val="0"/>
              <w:autoSpaceDE w:val="0"/>
              <w:autoSpaceDN w:val="0"/>
              <w:adjustRightInd w:val="0"/>
              <w:spacing w:beforeLines="50" w:before="137" w:after="0"/>
              <w:ind w:hangingChars="210"/>
              <w:jc w:val="both"/>
              <w:textAlignment w:val="baseline"/>
              <w:rPr>
                <w:bCs/>
                <w:lang w:eastAsia="zh-CN"/>
              </w:rPr>
            </w:pPr>
            <w:r>
              <w:rPr>
                <w:bCs/>
                <w:lang w:eastAsia="zh-CN"/>
              </w:rPr>
              <w:t xml:space="preserve">Specify </w:t>
            </w:r>
            <w:r>
              <w:rPr>
                <w:rFonts w:hint="eastAsia"/>
                <w:bCs/>
                <w:lang w:eastAsia="zh-CN"/>
              </w:rPr>
              <w:t>the</w:t>
            </w:r>
            <w:r>
              <w:rPr>
                <w:bCs/>
                <w:lang w:eastAsia="zh-CN"/>
              </w:rPr>
              <w:t xml:space="preserve"> support for QoE measurement collection and reporting continuity </w:t>
            </w:r>
            <w:r>
              <w:rPr>
                <w:rFonts w:hint="eastAsia"/>
                <w:bCs/>
                <w:lang w:eastAsia="zh-CN"/>
              </w:rPr>
              <w:t>in</w:t>
            </w:r>
            <w:r>
              <w:rPr>
                <w:bCs/>
                <w:lang w:eastAsia="zh-CN"/>
              </w:rPr>
              <w:t xml:space="preserve"> </w:t>
            </w:r>
            <w:r>
              <w:rPr>
                <w:szCs w:val="18"/>
              </w:rPr>
              <w:t>intra-system intra-RAT</w:t>
            </w:r>
            <w:r>
              <w:rPr>
                <w:bCs/>
                <w:lang w:eastAsia="zh-CN"/>
              </w:rPr>
              <w:t xml:space="preserve"> mobility</w:t>
            </w:r>
            <w:r>
              <w:rPr>
                <w:rFonts w:hint="eastAsia"/>
                <w:bCs/>
                <w:lang w:eastAsia="zh-CN"/>
              </w:rPr>
              <w:t xml:space="preserve"> scenario</w:t>
            </w:r>
            <w:r w:rsidRPr="005D6703">
              <w:rPr>
                <w:bCs/>
                <w:lang w:eastAsia="zh-CN"/>
              </w:rPr>
              <w:t xml:space="preserve"> </w:t>
            </w:r>
            <w:r>
              <w:rPr>
                <w:bCs/>
                <w:lang w:eastAsia="zh-CN"/>
              </w:rPr>
              <w:t>for signaling based QoE</w:t>
            </w:r>
            <w:r>
              <w:rPr>
                <w:rFonts w:hint="eastAsia"/>
                <w:bCs/>
                <w:lang w:eastAsia="zh-CN"/>
              </w:rPr>
              <w:t>.</w:t>
            </w:r>
            <w:r>
              <w:rPr>
                <w:bCs/>
                <w:lang w:eastAsia="zh-CN"/>
              </w:rPr>
              <w:t xml:space="preserve"> Mobility </w:t>
            </w:r>
            <w:r>
              <w:rPr>
                <w:rFonts w:hint="eastAsia"/>
                <w:lang w:eastAsia="zh-CN"/>
              </w:rPr>
              <w:t>support</w:t>
            </w:r>
            <w:r>
              <w:rPr>
                <w:lang w:eastAsia="zh-CN"/>
              </w:rPr>
              <w:t xml:space="preserve"> for </w:t>
            </w:r>
            <w:r>
              <w:rPr>
                <w:bCs/>
                <w:lang w:eastAsia="zh-CN"/>
              </w:rPr>
              <w:t>management based</w:t>
            </w:r>
            <w:r>
              <w:rPr>
                <w:rFonts w:hint="eastAsia"/>
                <w:bCs/>
                <w:lang w:eastAsia="zh-CN"/>
              </w:rPr>
              <w:t xml:space="preserve"> QoE measuremen</w:t>
            </w:r>
            <w:r>
              <w:rPr>
                <w:bCs/>
                <w:lang w:eastAsia="zh-CN"/>
              </w:rPr>
              <w:t>ts is pending input from SA5. [RAN3</w:t>
            </w:r>
            <w:r>
              <w:rPr>
                <w:rFonts w:hint="eastAsia"/>
                <w:bCs/>
                <w:lang w:eastAsia="zh-CN"/>
              </w:rPr>
              <w:t>,</w:t>
            </w:r>
            <w:r>
              <w:rPr>
                <w:bCs/>
                <w:lang w:eastAsia="zh-CN"/>
              </w:rPr>
              <w:t xml:space="preserve"> RAN2]</w:t>
            </w:r>
          </w:p>
          <w:p w14:paraId="3E26C58B" w14:textId="77777777" w:rsidR="00810BB6" w:rsidRDefault="00810BB6" w:rsidP="00810BB6">
            <w:pPr>
              <w:spacing w:after="0"/>
              <w:rPr>
                <w:bCs/>
                <w:lang w:eastAsia="zh-CN"/>
              </w:rPr>
            </w:pPr>
          </w:p>
          <w:p w14:paraId="70753524" w14:textId="77777777" w:rsidR="00810BB6" w:rsidRDefault="00810BB6" w:rsidP="00810BB6">
            <w:pPr>
              <w:numPr>
                <w:ilvl w:val="0"/>
                <w:numId w:val="40"/>
              </w:numPr>
              <w:overflowPunct w:val="0"/>
              <w:autoSpaceDE w:val="0"/>
              <w:autoSpaceDN w:val="0"/>
              <w:adjustRightInd w:val="0"/>
              <w:spacing w:after="0"/>
              <w:ind w:left="426" w:hanging="426"/>
              <w:textAlignment w:val="baseline"/>
              <w:rPr>
                <w:bCs/>
              </w:rPr>
            </w:pPr>
            <w:r>
              <w:rPr>
                <w:bCs/>
                <w:lang w:eastAsia="zh-CN"/>
              </w:rPr>
              <w:t>To support RAN visible QoE, evaluate and s</w:t>
            </w:r>
            <w:r>
              <w:rPr>
                <w:rFonts w:hint="eastAsia"/>
                <w:bCs/>
                <w:lang w:eastAsia="zh-CN"/>
              </w:rPr>
              <w:t xml:space="preserve">pecify </w:t>
            </w:r>
            <w:r>
              <w:rPr>
                <w:bCs/>
                <w:lang w:eastAsia="zh-CN"/>
              </w:rPr>
              <w:t>an initial relevant set of RAN</w:t>
            </w:r>
            <w:r>
              <w:rPr>
                <w:rFonts w:hint="eastAsia"/>
                <w:bCs/>
                <w:lang w:eastAsia="zh-CN"/>
              </w:rPr>
              <w:t>-visible QoE parameter</w:t>
            </w:r>
            <w:r>
              <w:rPr>
                <w:bCs/>
                <w:lang w:eastAsia="zh-CN"/>
              </w:rPr>
              <w:t>s, then specify c</w:t>
            </w:r>
            <w:r>
              <w:rPr>
                <w:bCs/>
              </w:rPr>
              <w:t>onfiguration</w:t>
            </w:r>
            <w:r>
              <w:rPr>
                <w:rFonts w:hint="eastAsia"/>
                <w:bCs/>
                <w:lang w:eastAsia="zh-CN"/>
              </w:rPr>
              <w:t xml:space="preserve"> and</w:t>
            </w:r>
            <w:r>
              <w:rPr>
                <w:bCs/>
              </w:rPr>
              <w:t xml:space="preserve"> reporting</w:t>
            </w:r>
            <w:r>
              <w:rPr>
                <w:bCs/>
                <w:lang w:eastAsia="zh-CN"/>
              </w:rPr>
              <w:t>.</w:t>
            </w:r>
            <w:r w:rsidRPr="00744DC1">
              <w:rPr>
                <w:bCs/>
                <w:lang w:eastAsia="zh-CN"/>
              </w:rPr>
              <w:t xml:space="preserve"> </w:t>
            </w:r>
            <w:r>
              <w:rPr>
                <w:bCs/>
                <w:lang w:eastAsia="zh-CN"/>
              </w:rPr>
              <w:t>[</w:t>
            </w:r>
            <w:r>
              <w:rPr>
                <w:rFonts w:hint="eastAsia"/>
                <w:bCs/>
                <w:lang w:eastAsia="zh-CN"/>
              </w:rPr>
              <w:t xml:space="preserve">RAN3, </w:t>
            </w:r>
            <w:r>
              <w:rPr>
                <w:bCs/>
                <w:lang w:eastAsia="zh-CN"/>
              </w:rPr>
              <w:t>RAN2]</w:t>
            </w:r>
          </w:p>
          <w:p w14:paraId="5B84A980" w14:textId="77777777" w:rsidR="00810BB6" w:rsidRPr="005153EA" w:rsidRDefault="00810BB6" w:rsidP="00810BB6">
            <w:pPr>
              <w:numPr>
                <w:ilvl w:val="0"/>
                <w:numId w:val="38"/>
              </w:numPr>
              <w:overflowPunct w:val="0"/>
              <w:autoSpaceDE w:val="0"/>
              <w:autoSpaceDN w:val="0"/>
              <w:adjustRightInd w:val="0"/>
              <w:spacing w:beforeLines="50" w:before="137" w:after="0"/>
              <w:ind w:hangingChars="210"/>
              <w:jc w:val="both"/>
              <w:textAlignment w:val="baseline"/>
              <w:rPr>
                <w:bCs/>
              </w:rPr>
            </w:pPr>
            <w:r w:rsidRPr="005153EA">
              <w:rPr>
                <w:bCs/>
                <w:lang w:eastAsia="zh-CN"/>
              </w:rPr>
              <w:t xml:space="preserve">Specify </w:t>
            </w:r>
            <w:r w:rsidRPr="005153EA">
              <w:rPr>
                <w:rFonts w:hint="eastAsia"/>
                <w:bCs/>
                <w:lang w:eastAsia="zh-CN"/>
              </w:rPr>
              <w:t>the</w:t>
            </w:r>
            <w:r w:rsidRPr="005153EA">
              <w:rPr>
                <w:bCs/>
                <w:lang w:eastAsia="zh-CN"/>
              </w:rPr>
              <w:t xml:space="preserve"> support for </w:t>
            </w:r>
            <w:r w:rsidRPr="005153EA">
              <w:rPr>
                <w:rFonts w:hint="eastAsia"/>
                <w:bCs/>
                <w:lang w:eastAsia="zh-CN"/>
              </w:rPr>
              <w:t>p</w:t>
            </w:r>
            <w:r w:rsidRPr="005153EA">
              <w:rPr>
                <w:bCs/>
                <w:lang w:eastAsia="zh-CN"/>
              </w:rPr>
              <w:t>er-slice QoE measurement</w:t>
            </w:r>
            <w:r w:rsidRPr="005153EA">
              <w:rPr>
                <w:rFonts w:hint="eastAsia"/>
                <w:bCs/>
                <w:lang w:eastAsia="zh-CN"/>
              </w:rPr>
              <w:t xml:space="preserve">. </w:t>
            </w:r>
            <w:r w:rsidRPr="005153EA">
              <w:rPr>
                <w:bCs/>
                <w:lang w:eastAsia="zh-CN"/>
              </w:rPr>
              <w:t>[</w:t>
            </w:r>
            <w:r w:rsidRPr="005153EA">
              <w:rPr>
                <w:rFonts w:hint="eastAsia"/>
                <w:bCs/>
                <w:lang w:eastAsia="zh-CN"/>
              </w:rPr>
              <w:t xml:space="preserve">RAN3, </w:t>
            </w:r>
            <w:r w:rsidRPr="005153EA">
              <w:rPr>
                <w:bCs/>
                <w:lang w:eastAsia="zh-CN"/>
              </w:rPr>
              <w:t>RAN2]</w:t>
            </w:r>
            <w:bookmarkStart w:id="6" w:name="_Hlk67518295"/>
          </w:p>
          <w:p w14:paraId="0B67846C" w14:textId="77777777" w:rsidR="00810BB6" w:rsidRPr="005153EA" w:rsidRDefault="00810BB6" w:rsidP="00810BB6">
            <w:pPr>
              <w:numPr>
                <w:ilvl w:val="0"/>
                <w:numId w:val="38"/>
              </w:numPr>
              <w:overflowPunct w:val="0"/>
              <w:autoSpaceDE w:val="0"/>
              <w:autoSpaceDN w:val="0"/>
              <w:adjustRightInd w:val="0"/>
              <w:spacing w:beforeLines="50" w:before="137" w:after="0"/>
              <w:ind w:hangingChars="210"/>
              <w:jc w:val="both"/>
              <w:textAlignment w:val="baseline"/>
              <w:rPr>
                <w:bCs/>
              </w:rPr>
            </w:pPr>
            <w:r w:rsidRPr="005153EA">
              <w:rPr>
                <w:bCs/>
                <w:lang w:eastAsia="zh-CN"/>
              </w:rPr>
              <w:t>Specify the necessary mechanism to support alignment of radio-related measurement (i.e. MDT) and QoE measurement. [RAN3, RAN2]</w:t>
            </w:r>
            <w:bookmarkEnd w:id="6"/>
          </w:p>
          <w:p w14:paraId="1D4FCC73" w14:textId="77777777" w:rsidR="00810BB6" w:rsidRDefault="00810BB6" w:rsidP="00810BB6">
            <w:pPr>
              <w:spacing w:beforeLines="50" w:before="137" w:after="0"/>
              <w:ind w:leftChars="10" w:left="20"/>
              <w:jc w:val="both"/>
              <w:rPr>
                <w:bCs/>
                <w:lang w:eastAsia="zh-CN"/>
              </w:rPr>
            </w:pPr>
            <w:r>
              <w:rPr>
                <w:bCs/>
                <w:lang w:eastAsia="zh-CN"/>
              </w:rPr>
              <w:t xml:space="preserve">Note: </w:t>
            </w:r>
            <w:r>
              <w:rPr>
                <w:rFonts w:hint="eastAsia"/>
                <w:bCs/>
                <w:lang w:eastAsia="zh-CN"/>
              </w:rPr>
              <w:t xml:space="preserve">If needed, </w:t>
            </w:r>
            <w:r>
              <w:rPr>
                <w:bCs/>
                <w:lang w:eastAsia="zh-CN"/>
              </w:rPr>
              <w:t xml:space="preserve">co-operate with </w:t>
            </w:r>
            <w:r>
              <w:rPr>
                <w:rFonts w:hint="eastAsia"/>
                <w:bCs/>
                <w:lang w:eastAsia="zh-CN"/>
              </w:rPr>
              <w:t>o</w:t>
            </w:r>
            <w:r>
              <w:rPr>
                <w:bCs/>
                <w:lang w:eastAsia="zh-CN"/>
              </w:rPr>
              <w:t>ther working groups, e.g. SA4/SA5/CT1</w:t>
            </w:r>
            <w:r>
              <w:rPr>
                <w:rFonts w:hint="eastAsia"/>
                <w:bCs/>
                <w:lang w:eastAsia="zh-CN"/>
              </w:rPr>
              <w:t>.</w:t>
            </w:r>
          </w:p>
          <w:p w14:paraId="13F0DBE7" w14:textId="3E48238B" w:rsidR="00867EF8" w:rsidRDefault="00867EF8" w:rsidP="005D4E67">
            <w:pPr>
              <w:numPr>
                <w:ilvl w:val="0"/>
                <w:numId w:val="28"/>
              </w:numPr>
              <w:overflowPunct w:val="0"/>
              <w:autoSpaceDE w:val="0"/>
              <w:autoSpaceDN w:val="0"/>
              <w:adjustRightInd w:val="0"/>
              <w:spacing w:after="180"/>
              <w:textAlignment w:val="baseline"/>
              <w:rPr>
                <w:szCs w:val="21"/>
              </w:rPr>
            </w:pPr>
          </w:p>
        </w:tc>
      </w:tr>
    </w:tbl>
    <w:p w14:paraId="0956C5E3" w14:textId="62B39322" w:rsidR="004F75F4" w:rsidRDefault="005D4E67" w:rsidP="00CD5A26">
      <w:pPr>
        <w:rPr>
          <w:szCs w:val="21"/>
        </w:rPr>
      </w:pPr>
      <w:r>
        <w:rPr>
          <w:szCs w:val="21"/>
        </w:rPr>
        <w:t xml:space="preserve">RAN3 has begun discussion on QoE </w:t>
      </w:r>
      <w:r w:rsidRPr="005D4E67">
        <w:rPr>
          <w:szCs w:val="21"/>
        </w:rPr>
        <w:t>management and optimizations</w:t>
      </w:r>
      <w:r>
        <w:rPr>
          <w:szCs w:val="21"/>
        </w:rPr>
        <w:t xml:space="preserve"> and sent Ls to RAN2 [2] to inform RAN2 about RAN3 progress.</w:t>
      </w:r>
    </w:p>
    <w:p w14:paraId="637B659B" w14:textId="0C80D1E6" w:rsidR="004A2CFC" w:rsidRPr="00823A00" w:rsidRDefault="004A2CFC" w:rsidP="006C751E">
      <w:pPr>
        <w:spacing w:beforeLines="50" w:before="137"/>
        <w:jc w:val="both"/>
        <w:rPr>
          <w:szCs w:val="21"/>
        </w:rPr>
      </w:pPr>
      <w:r>
        <w:rPr>
          <w:szCs w:val="21"/>
        </w:rPr>
        <w:t xml:space="preserve">This contribution </w:t>
      </w:r>
      <w:r w:rsidR="0049084A">
        <w:rPr>
          <w:szCs w:val="21"/>
        </w:rPr>
        <w:t xml:space="preserve">further </w:t>
      </w:r>
      <w:r>
        <w:rPr>
          <w:szCs w:val="21"/>
        </w:rPr>
        <w:t xml:space="preserve">discusses </w:t>
      </w:r>
      <w:r w:rsidR="002311B7">
        <w:rPr>
          <w:szCs w:val="21"/>
        </w:rPr>
        <w:t xml:space="preserve">some </w:t>
      </w:r>
      <w:r w:rsidR="005D4E67" w:rsidRPr="005D4E67">
        <w:rPr>
          <w:szCs w:val="21"/>
        </w:rPr>
        <w:t>QoE management and optimizations</w:t>
      </w:r>
      <w:r w:rsidR="002311B7">
        <w:rPr>
          <w:szCs w:val="21"/>
        </w:rPr>
        <w:t xml:space="preserve"> issues</w:t>
      </w:r>
      <w:r w:rsidR="00930021">
        <w:rPr>
          <w:szCs w:val="21"/>
        </w:rPr>
        <w:t>.</w:t>
      </w:r>
    </w:p>
    <w:p w14:paraId="61032341" w14:textId="51FA591A" w:rsidR="001C26E3" w:rsidRPr="00B411E1"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7EFF8688" w14:textId="7C38F8D3" w:rsidR="00793403" w:rsidRDefault="008D6ED3" w:rsidP="006A7D4A">
      <w:pPr>
        <w:jc w:val="both"/>
      </w:pPr>
      <w:r>
        <w:t>UE may be configure</w:t>
      </w:r>
      <w:r w:rsidR="00BC0A67">
        <w:t>d</w:t>
      </w:r>
      <w:r>
        <w:t xml:space="preserve"> with </w:t>
      </w:r>
      <w:r w:rsidR="007D65CC">
        <w:t xml:space="preserve">a </w:t>
      </w:r>
      <w:r>
        <w:t>single service</w:t>
      </w:r>
      <w:r w:rsidR="00C94070">
        <w:t xml:space="preserve"> application</w:t>
      </w:r>
      <w:r>
        <w:t xml:space="preserve"> or multiple service</w:t>
      </w:r>
      <w:r w:rsidR="00BC0A67">
        <w:t xml:space="preserve"> applications</w:t>
      </w:r>
      <w:r>
        <w:t>, at the same time.</w:t>
      </w:r>
      <w:r w:rsidR="00BC0A67">
        <w:t xml:space="preserve"> In case of multiple services application</w:t>
      </w:r>
      <w:r w:rsidR="007D65CC">
        <w:t>s</w:t>
      </w:r>
      <w:r w:rsidR="00BC0A67">
        <w:t xml:space="preserve"> configured to UE, </w:t>
      </w:r>
      <w:r w:rsidR="0067241E">
        <w:t>the different service applications may have different QoE requirement</w:t>
      </w:r>
      <w:r w:rsidR="007D65CC">
        <w:t>s</w:t>
      </w:r>
      <w:r w:rsidR="0067241E">
        <w:t>,</w:t>
      </w:r>
      <w:r w:rsidR="0067241E" w:rsidRPr="0067241E">
        <w:t xml:space="preserve"> </w:t>
      </w:r>
      <w:r w:rsidR="0067241E">
        <w:t>for example</w:t>
      </w:r>
      <w:r w:rsidR="00C94070">
        <w:t xml:space="preserve"> a</w:t>
      </w:r>
      <w:r w:rsidR="0067241E">
        <w:t xml:space="preserve"> UE configured with VR and OTT service</w:t>
      </w:r>
      <w:r w:rsidR="00C94070">
        <w:t xml:space="preserve"> applications</w:t>
      </w:r>
      <w:r w:rsidR="0067241E">
        <w:t>.</w:t>
      </w:r>
      <w:r w:rsidR="00C94070">
        <w:t xml:space="preserve"> For such kind</w:t>
      </w:r>
      <w:r w:rsidR="007D65CC">
        <w:t>s</w:t>
      </w:r>
      <w:r w:rsidR="00C94070">
        <w:t xml:space="preserve"> of multiple service applications configured to UE, </w:t>
      </w:r>
      <w:r w:rsidR="00504793">
        <w:t>if a unique QoE is configured for</w:t>
      </w:r>
      <w:r w:rsidR="00793403">
        <w:t xml:space="preserve"> both VR application and OTT application, network may not have a clear idea of UE service quality experience. This would not allow per service application QoE</w:t>
      </w:r>
      <w:r w:rsidR="00F65CDC">
        <w:t xml:space="preserve"> optimization</w:t>
      </w:r>
      <w:r w:rsidR="0088541F">
        <w:t>.</w:t>
      </w:r>
    </w:p>
    <w:p w14:paraId="785A940B" w14:textId="30AEB8F4" w:rsidR="0088541F" w:rsidRPr="00533335" w:rsidRDefault="0088541F" w:rsidP="00533335">
      <w:pPr>
        <w:pStyle w:val="Observation"/>
        <w:numPr>
          <w:ilvl w:val="0"/>
          <w:numId w:val="7"/>
        </w:numPr>
        <w:tabs>
          <w:tab w:val="clear" w:pos="850"/>
        </w:tabs>
        <w:ind w:left="1701" w:hanging="1701"/>
        <w:rPr>
          <w:rFonts w:ascii="Times New Roman" w:hAnsi="Times New Roman"/>
          <w:b w:val="0"/>
        </w:rPr>
      </w:pPr>
      <w:bookmarkStart w:id="7" w:name="_Ref61598384"/>
      <w:r w:rsidRPr="00533335">
        <w:rPr>
          <w:rFonts w:ascii="Times New Roman" w:hAnsi="Times New Roman"/>
        </w:rPr>
        <w:t>Single QoE configuration for multiple service application</w:t>
      </w:r>
      <w:r w:rsidR="007D65CC">
        <w:rPr>
          <w:rFonts w:ascii="Times New Roman" w:hAnsi="Times New Roman"/>
        </w:rPr>
        <w:t>s</w:t>
      </w:r>
      <w:r w:rsidRPr="00533335">
        <w:rPr>
          <w:rFonts w:ascii="Times New Roman" w:hAnsi="Times New Roman"/>
        </w:rPr>
        <w:t xml:space="preserve"> is not helpful for QoE monitoring and optimization.</w:t>
      </w:r>
      <w:bookmarkEnd w:id="7"/>
    </w:p>
    <w:p w14:paraId="5426FB16" w14:textId="688B727D" w:rsidR="0088541F" w:rsidRDefault="00D61978" w:rsidP="006A7D4A">
      <w:pPr>
        <w:jc w:val="both"/>
      </w:pPr>
      <w:r>
        <w:lastRenderedPageBreak/>
        <w:t xml:space="preserve">If for each UE service application, UE is configured with QoE reporting, UE would be able to report </w:t>
      </w:r>
      <w:r w:rsidR="007D65CC">
        <w:t>service-</w:t>
      </w:r>
      <w:r>
        <w:t>specific QoE. And based on per service QoE reporting, the network would be able to apply per service QoE optimization. Therefore,</w:t>
      </w:r>
    </w:p>
    <w:p w14:paraId="40090FC5" w14:textId="52972391" w:rsidR="00D61978" w:rsidRPr="006000C8" w:rsidRDefault="00D61978" w:rsidP="00C837FC">
      <w:pPr>
        <w:pStyle w:val="Proposal"/>
        <w:numPr>
          <w:ilvl w:val="0"/>
          <w:numId w:val="6"/>
        </w:numPr>
        <w:ind w:left="1701" w:hanging="1701"/>
        <w:rPr>
          <w:rFonts w:ascii="Times New Roman" w:hAnsi="Times New Roman"/>
          <w:b w:val="0"/>
          <w:bCs w:val="0"/>
          <w:color w:val="000000"/>
        </w:rPr>
      </w:pPr>
      <w:bookmarkStart w:id="8" w:name="_Ref61598399"/>
      <w:r w:rsidRPr="00C837FC">
        <w:rPr>
          <w:rFonts w:ascii="Times New Roman" w:hAnsi="Times New Roman"/>
          <w:color w:val="000000"/>
        </w:rPr>
        <w:t xml:space="preserve">Network </w:t>
      </w:r>
      <w:r w:rsidR="00C2015A" w:rsidRPr="00C837FC">
        <w:rPr>
          <w:rFonts w:ascii="Times New Roman" w:hAnsi="Times New Roman"/>
          <w:color w:val="000000"/>
        </w:rPr>
        <w:t>can configure UE with multiple QoE reporting and UE should be able to report QoE measurement per service application</w:t>
      </w:r>
      <w:bookmarkEnd w:id="8"/>
    </w:p>
    <w:p w14:paraId="0A296A19" w14:textId="3FC96417" w:rsidR="007E4311" w:rsidRDefault="007E4311" w:rsidP="007E4311">
      <w:pPr>
        <w:jc w:val="both"/>
      </w:pPr>
      <w:r w:rsidRPr="00420C68">
        <w:t xml:space="preserve">Collection </w:t>
      </w:r>
      <w:r>
        <w:t xml:space="preserve">and reporting </w:t>
      </w:r>
      <w:r w:rsidRPr="00420C68">
        <w:t xml:space="preserve">of </w:t>
      </w:r>
      <w:r w:rsidR="007D65CC" w:rsidRPr="00420C68">
        <w:t>radio</w:t>
      </w:r>
      <w:r w:rsidR="007D65CC">
        <w:t>-</w:t>
      </w:r>
      <w:r w:rsidRPr="00420C68">
        <w:t xml:space="preserve">related </w:t>
      </w:r>
      <w:r>
        <w:t xml:space="preserve">QoE </w:t>
      </w:r>
      <w:r w:rsidRPr="00420C68">
        <w:t>measurements</w:t>
      </w:r>
      <w:r>
        <w:t xml:space="preserve"> can be done using new signaling procedure</w:t>
      </w:r>
      <w:r w:rsidRPr="00420C68">
        <w:t>,</w:t>
      </w:r>
      <w:r>
        <w:t xml:space="preserve"> but as QoE measurement collection and MDT measurements collection have some similarity, current Rel-17 MDT measurement collection can be used for </w:t>
      </w:r>
      <w:r w:rsidR="007D65CC">
        <w:rPr>
          <w:rFonts w:hint="eastAsia"/>
          <w:lang w:eastAsia="zh-CN"/>
        </w:rPr>
        <w:t>rad</w:t>
      </w:r>
      <w:r w:rsidR="007D65CC">
        <w:t xml:space="preserve">io-related </w:t>
      </w:r>
      <w:r>
        <w:t xml:space="preserve">QoE </w:t>
      </w:r>
      <w:r w:rsidRPr="00420C68">
        <w:t>measurements</w:t>
      </w:r>
      <w:r>
        <w:t xml:space="preserve"> collection.</w:t>
      </w:r>
    </w:p>
    <w:p w14:paraId="7B24E743" w14:textId="77777777" w:rsidR="007E4311" w:rsidRDefault="007E4311" w:rsidP="007E4311">
      <w:pPr>
        <w:jc w:val="both"/>
      </w:pPr>
      <w:r>
        <w:t>Therefore,</w:t>
      </w:r>
    </w:p>
    <w:p w14:paraId="790A9D7B" w14:textId="265FBFE2" w:rsidR="007E4311" w:rsidRPr="009A7E60" w:rsidRDefault="007E4311" w:rsidP="009A7E60">
      <w:pPr>
        <w:pStyle w:val="Proposal"/>
        <w:numPr>
          <w:ilvl w:val="0"/>
          <w:numId w:val="6"/>
        </w:numPr>
        <w:ind w:left="1701" w:hanging="1701"/>
        <w:rPr>
          <w:rFonts w:ascii="Times New Roman" w:hAnsi="Times New Roman"/>
          <w:color w:val="000000"/>
        </w:rPr>
      </w:pPr>
      <w:r w:rsidRPr="009A7E60">
        <w:rPr>
          <w:rFonts w:ascii="Times New Roman" w:hAnsi="Times New Roman"/>
          <w:color w:val="000000"/>
        </w:rPr>
        <w:t>Methods for collection and reporting of radio related QoE measurements should be done by existing</w:t>
      </w:r>
      <w:r w:rsidR="009A7E60" w:rsidRPr="009A7E60">
        <w:rPr>
          <w:rFonts w:ascii="Times New Roman" w:hAnsi="Times New Roman"/>
          <w:color w:val="000000"/>
        </w:rPr>
        <w:t xml:space="preserve"> collection and reporting of radio related Rel-17 MDT measurements</w:t>
      </w:r>
      <w:r w:rsidRPr="009A7E60">
        <w:rPr>
          <w:rFonts w:ascii="Times New Roman" w:hAnsi="Times New Roman"/>
          <w:color w:val="000000"/>
        </w:rPr>
        <w:t xml:space="preserve"> methods</w:t>
      </w:r>
      <w:r w:rsidR="009A7E60" w:rsidRPr="009A7E60">
        <w:rPr>
          <w:rFonts w:ascii="Times New Roman" w:hAnsi="Times New Roman"/>
          <w:color w:val="000000"/>
        </w:rPr>
        <w:t>, as far as applicable.</w:t>
      </w:r>
      <w:r w:rsidRPr="009A7E60">
        <w:rPr>
          <w:rFonts w:ascii="Times New Roman" w:hAnsi="Times New Roman"/>
          <w:color w:val="000000"/>
        </w:rPr>
        <w:t xml:space="preserve"> </w:t>
      </w:r>
    </w:p>
    <w:p w14:paraId="0B3C406E" w14:textId="687D8F99" w:rsidR="006000C8" w:rsidRDefault="006000C8" w:rsidP="006000C8">
      <w:pPr>
        <w:pStyle w:val="Proposal"/>
        <w:rPr>
          <w:rFonts w:ascii="Times New Roman" w:hAnsi="Times New Roman"/>
          <w:b w:val="0"/>
          <w:bCs w:val="0"/>
          <w:color w:val="000000"/>
        </w:rPr>
      </w:pPr>
      <w:r>
        <w:rPr>
          <w:rFonts w:ascii="Times New Roman" w:hAnsi="Times New Roman"/>
          <w:b w:val="0"/>
          <w:bCs w:val="0"/>
          <w:color w:val="000000"/>
        </w:rPr>
        <w:t xml:space="preserve">As discussed during SI phase, </w:t>
      </w:r>
      <w:r w:rsidR="00A80DDC">
        <w:rPr>
          <w:rFonts w:ascii="Times New Roman" w:hAnsi="Times New Roman"/>
          <w:b w:val="0"/>
          <w:bCs w:val="0"/>
          <w:color w:val="000000"/>
        </w:rPr>
        <w:t>QoE measurement</w:t>
      </w:r>
      <w:r w:rsidR="00D45503">
        <w:rPr>
          <w:rFonts w:ascii="Times New Roman" w:hAnsi="Times New Roman"/>
          <w:b w:val="0"/>
          <w:bCs w:val="0"/>
          <w:color w:val="000000"/>
        </w:rPr>
        <w:t xml:space="preserve"> can be configured </w:t>
      </w:r>
      <w:r w:rsidR="007E4311">
        <w:rPr>
          <w:rFonts w:ascii="Times New Roman" w:hAnsi="Times New Roman"/>
          <w:b w:val="0"/>
          <w:bCs w:val="0"/>
          <w:color w:val="000000"/>
        </w:rPr>
        <w:t xml:space="preserve">as </w:t>
      </w:r>
      <w:r w:rsidR="007E4311" w:rsidRPr="00D45503">
        <w:rPr>
          <w:rFonts w:ascii="Times New Roman" w:hAnsi="Times New Roman"/>
          <w:b w:val="0"/>
          <w:bCs w:val="0"/>
          <w:color w:val="000000"/>
        </w:rPr>
        <w:t xml:space="preserve">Signalling-based or </w:t>
      </w:r>
      <w:r w:rsidR="007E4311" w:rsidRPr="00D45503">
        <w:rPr>
          <w:rFonts w:ascii="Times New Roman" w:hAnsi="Times New Roman" w:hint="eastAsia"/>
          <w:b w:val="0"/>
          <w:bCs w:val="0"/>
          <w:color w:val="000000"/>
        </w:rPr>
        <w:t>Management</w:t>
      </w:r>
      <w:r w:rsidR="007E4311" w:rsidRPr="00D45503">
        <w:rPr>
          <w:rFonts w:ascii="Times New Roman" w:hAnsi="Times New Roman"/>
          <w:b w:val="0"/>
          <w:bCs w:val="0"/>
          <w:color w:val="000000"/>
        </w:rPr>
        <w:t>-based</w:t>
      </w:r>
      <w:r w:rsidR="007E4311">
        <w:rPr>
          <w:rFonts w:ascii="Times New Roman" w:hAnsi="Times New Roman"/>
          <w:b w:val="0"/>
          <w:bCs w:val="0"/>
          <w:color w:val="000000"/>
        </w:rPr>
        <w:t xml:space="preserve">. </w:t>
      </w:r>
      <w:r w:rsidR="007E4311">
        <w:rPr>
          <w:rFonts w:ascii="Times New Roman" w:hAnsi="Times New Roman" w:hint="eastAsia"/>
          <w:b w:val="0"/>
          <w:bCs w:val="0"/>
          <w:color w:val="000000"/>
        </w:rPr>
        <w:t>A</w:t>
      </w:r>
      <w:r w:rsidR="007E4311">
        <w:rPr>
          <w:rFonts w:ascii="Times New Roman" w:hAnsi="Times New Roman"/>
          <w:b w:val="0"/>
          <w:bCs w:val="0"/>
          <w:color w:val="000000"/>
        </w:rPr>
        <w:t xml:space="preserve">nd the QoE </w:t>
      </w:r>
      <w:r w:rsidR="00D45503">
        <w:rPr>
          <w:rFonts w:ascii="Times New Roman" w:hAnsi="Times New Roman"/>
          <w:b w:val="0"/>
          <w:bCs w:val="0"/>
          <w:color w:val="000000"/>
        </w:rPr>
        <w:t>activat</w:t>
      </w:r>
      <w:r w:rsidR="007E4311">
        <w:rPr>
          <w:rFonts w:ascii="Times New Roman" w:hAnsi="Times New Roman"/>
          <w:b w:val="0"/>
          <w:bCs w:val="0"/>
          <w:color w:val="000000"/>
        </w:rPr>
        <w:t>ion</w:t>
      </w:r>
      <w:r w:rsidR="00D45503">
        <w:rPr>
          <w:rFonts w:ascii="Times New Roman" w:hAnsi="Times New Roman"/>
          <w:b w:val="0"/>
          <w:bCs w:val="0"/>
          <w:color w:val="000000"/>
        </w:rPr>
        <w:t xml:space="preserve"> or de-activat</w:t>
      </w:r>
      <w:r w:rsidR="007E4311">
        <w:rPr>
          <w:rFonts w:ascii="Times New Roman" w:hAnsi="Times New Roman"/>
          <w:b w:val="0"/>
          <w:bCs w:val="0"/>
          <w:color w:val="000000"/>
        </w:rPr>
        <w:t>ion</w:t>
      </w:r>
      <w:r w:rsidR="00D45503">
        <w:rPr>
          <w:rFonts w:ascii="Times New Roman" w:hAnsi="Times New Roman"/>
          <w:b w:val="0"/>
          <w:bCs w:val="0"/>
          <w:color w:val="000000"/>
        </w:rPr>
        <w:t xml:space="preserve"> can </w:t>
      </w:r>
      <w:r w:rsidR="007E4311">
        <w:rPr>
          <w:rFonts w:ascii="Times New Roman" w:hAnsi="Times New Roman"/>
          <w:b w:val="0"/>
          <w:bCs w:val="0"/>
          <w:color w:val="000000"/>
        </w:rPr>
        <w:t xml:space="preserve">also </w:t>
      </w:r>
      <w:r w:rsidR="00D45503">
        <w:rPr>
          <w:rFonts w:ascii="Times New Roman" w:hAnsi="Times New Roman"/>
          <w:b w:val="0"/>
          <w:bCs w:val="0"/>
          <w:color w:val="000000"/>
        </w:rPr>
        <w:t xml:space="preserve">be </w:t>
      </w:r>
      <w:r w:rsidR="005906A2">
        <w:rPr>
          <w:rFonts w:ascii="Times New Roman" w:hAnsi="Times New Roman"/>
          <w:b w:val="0"/>
          <w:bCs w:val="0"/>
          <w:color w:val="000000"/>
        </w:rPr>
        <w:t xml:space="preserve">either </w:t>
      </w:r>
      <w:r w:rsidR="00D45503" w:rsidRPr="00D45503">
        <w:rPr>
          <w:rFonts w:ascii="Times New Roman" w:hAnsi="Times New Roman"/>
          <w:b w:val="0"/>
          <w:bCs w:val="0"/>
          <w:color w:val="000000"/>
        </w:rPr>
        <w:t xml:space="preserve">Signalling-based or </w:t>
      </w:r>
      <w:r w:rsidR="00D45503" w:rsidRPr="00D45503">
        <w:rPr>
          <w:rFonts w:ascii="Times New Roman" w:hAnsi="Times New Roman" w:hint="eastAsia"/>
          <w:b w:val="0"/>
          <w:bCs w:val="0"/>
          <w:color w:val="000000"/>
        </w:rPr>
        <w:t>Management</w:t>
      </w:r>
      <w:r w:rsidR="00D45503" w:rsidRPr="00D45503">
        <w:rPr>
          <w:rFonts w:ascii="Times New Roman" w:hAnsi="Times New Roman"/>
          <w:b w:val="0"/>
          <w:bCs w:val="0"/>
          <w:color w:val="000000"/>
        </w:rPr>
        <w:t>-based</w:t>
      </w:r>
      <w:r w:rsidR="00D45503">
        <w:rPr>
          <w:rFonts w:ascii="Times New Roman" w:hAnsi="Times New Roman"/>
          <w:b w:val="0"/>
          <w:bCs w:val="0"/>
          <w:color w:val="000000"/>
        </w:rPr>
        <w:t xml:space="preserve">. </w:t>
      </w:r>
    </w:p>
    <w:p w14:paraId="32870850" w14:textId="15F520C7" w:rsidR="00D45503" w:rsidRDefault="00D45503" w:rsidP="006000C8">
      <w:pPr>
        <w:pStyle w:val="Proposal"/>
        <w:rPr>
          <w:rFonts w:ascii="Times New Roman" w:hAnsi="Times New Roman"/>
          <w:b w:val="0"/>
          <w:bCs w:val="0"/>
          <w:color w:val="000000"/>
        </w:rPr>
      </w:pPr>
      <w:r>
        <w:rPr>
          <w:rFonts w:ascii="Times New Roman" w:hAnsi="Times New Roman"/>
          <w:b w:val="0"/>
          <w:bCs w:val="0"/>
          <w:color w:val="000000"/>
        </w:rPr>
        <w:t>Therefore,</w:t>
      </w:r>
    </w:p>
    <w:p w14:paraId="77F741CA" w14:textId="1E32B3E5" w:rsidR="00D45503" w:rsidRPr="00D45503" w:rsidRDefault="00D45503" w:rsidP="00D45503">
      <w:pPr>
        <w:pStyle w:val="Proposal"/>
        <w:numPr>
          <w:ilvl w:val="0"/>
          <w:numId w:val="6"/>
        </w:numPr>
        <w:ind w:left="1701" w:hanging="1701"/>
        <w:rPr>
          <w:rFonts w:ascii="Times New Roman" w:hAnsi="Times New Roman"/>
          <w:color w:val="000000"/>
        </w:rPr>
      </w:pPr>
      <w:r w:rsidRPr="00D45503">
        <w:rPr>
          <w:rFonts w:ascii="Times New Roman" w:hAnsi="Times New Roman"/>
          <w:color w:val="000000"/>
        </w:rPr>
        <w:t xml:space="preserve">Both Signalling-based or </w:t>
      </w:r>
      <w:r w:rsidRPr="00D45503">
        <w:rPr>
          <w:rFonts w:ascii="Times New Roman" w:hAnsi="Times New Roman" w:hint="eastAsia"/>
          <w:color w:val="000000"/>
        </w:rPr>
        <w:t>Management</w:t>
      </w:r>
      <w:r w:rsidRPr="00D45503">
        <w:rPr>
          <w:rFonts w:ascii="Times New Roman" w:hAnsi="Times New Roman"/>
          <w:color w:val="000000"/>
        </w:rPr>
        <w:t>-based QoE measurement activate or de-activate are supported in the WI.</w:t>
      </w:r>
    </w:p>
    <w:p w14:paraId="03E5C941" w14:textId="10CA7FE5" w:rsidR="00D45503" w:rsidRDefault="00D45503" w:rsidP="006000C8">
      <w:pPr>
        <w:pStyle w:val="Proposal"/>
        <w:rPr>
          <w:rFonts w:ascii="Times New Roman" w:hAnsi="Times New Roman"/>
          <w:b w:val="0"/>
          <w:bCs w:val="0"/>
          <w:color w:val="000000"/>
        </w:rPr>
      </w:pPr>
      <w:r>
        <w:rPr>
          <w:rFonts w:ascii="Times New Roman" w:hAnsi="Times New Roman"/>
          <w:b w:val="0"/>
          <w:bCs w:val="0"/>
          <w:color w:val="000000"/>
        </w:rPr>
        <w:t xml:space="preserve">For QoE measurement, if both </w:t>
      </w:r>
      <w:r w:rsidRPr="00D45503">
        <w:rPr>
          <w:rFonts w:ascii="Times New Roman" w:hAnsi="Times New Roman"/>
          <w:b w:val="0"/>
          <w:bCs w:val="0"/>
          <w:color w:val="000000"/>
        </w:rPr>
        <w:t xml:space="preserve">Signalling-based or </w:t>
      </w:r>
      <w:r w:rsidRPr="00D45503">
        <w:rPr>
          <w:rFonts w:ascii="Times New Roman" w:hAnsi="Times New Roman" w:hint="eastAsia"/>
          <w:b w:val="0"/>
          <w:bCs w:val="0"/>
          <w:color w:val="000000"/>
        </w:rPr>
        <w:t>Management</w:t>
      </w:r>
      <w:r w:rsidRPr="00D45503">
        <w:rPr>
          <w:rFonts w:ascii="Times New Roman" w:hAnsi="Times New Roman"/>
          <w:b w:val="0"/>
          <w:bCs w:val="0"/>
          <w:color w:val="000000"/>
        </w:rPr>
        <w:t xml:space="preserve">-based </w:t>
      </w:r>
      <w:r w:rsidR="00E050CF">
        <w:rPr>
          <w:rFonts w:ascii="Times New Roman" w:hAnsi="Times New Roman"/>
          <w:b w:val="0"/>
          <w:bCs w:val="0"/>
          <w:color w:val="000000"/>
        </w:rPr>
        <w:t xml:space="preserve">configuration </w:t>
      </w:r>
      <w:r w:rsidRPr="00D45503">
        <w:rPr>
          <w:rFonts w:ascii="Times New Roman" w:hAnsi="Times New Roman"/>
          <w:b w:val="0"/>
          <w:bCs w:val="0"/>
          <w:color w:val="000000"/>
        </w:rPr>
        <w:t xml:space="preserve">are supported, QoE measurement may first be </w:t>
      </w:r>
      <w:r w:rsidR="00E050CF">
        <w:rPr>
          <w:rFonts w:ascii="Times New Roman" w:hAnsi="Times New Roman"/>
          <w:b w:val="0"/>
          <w:bCs w:val="0"/>
          <w:color w:val="000000"/>
        </w:rPr>
        <w:t>configured</w:t>
      </w:r>
      <w:r w:rsidRPr="00D45503">
        <w:rPr>
          <w:rFonts w:ascii="Times New Roman" w:hAnsi="Times New Roman"/>
          <w:b w:val="0"/>
          <w:bCs w:val="0"/>
          <w:color w:val="000000"/>
        </w:rPr>
        <w:t xml:space="preserve"> as </w:t>
      </w:r>
      <w:r w:rsidRPr="00D45503">
        <w:rPr>
          <w:rFonts w:ascii="Times New Roman" w:hAnsi="Times New Roman" w:hint="eastAsia"/>
          <w:b w:val="0"/>
          <w:bCs w:val="0"/>
          <w:color w:val="000000"/>
        </w:rPr>
        <w:t>Management</w:t>
      </w:r>
      <w:r w:rsidRPr="00D45503">
        <w:rPr>
          <w:rFonts w:ascii="Times New Roman" w:hAnsi="Times New Roman"/>
          <w:b w:val="0"/>
          <w:bCs w:val="0"/>
          <w:color w:val="000000"/>
        </w:rPr>
        <w:t xml:space="preserve">-based and then </w:t>
      </w:r>
      <w:r w:rsidR="00E050CF" w:rsidRPr="00D45503">
        <w:rPr>
          <w:rFonts w:ascii="Times New Roman" w:hAnsi="Times New Roman"/>
          <w:b w:val="0"/>
          <w:bCs w:val="0"/>
          <w:color w:val="000000"/>
        </w:rPr>
        <w:t>QoE measurement</w:t>
      </w:r>
      <w:r w:rsidRPr="00D45503">
        <w:rPr>
          <w:rFonts w:ascii="Times New Roman" w:hAnsi="Times New Roman"/>
          <w:b w:val="0"/>
          <w:bCs w:val="0"/>
          <w:color w:val="000000"/>
        </w:rPr>
        <w:t xml:space="preserve"> may </w:t>
      </w:r>
      <w:r w:rsidR="00E050CF">
        <w:rPr>
          <w:rFonts w:ascii="Times New Roman" w:hAnsi="Times New Roman"/>
          <w:b w:val="0"/>
          <w:bCs w:val="0"/>
          <w:color w:val="000000"/>
        </w:rPr>
        <w:t xml:space="preserve">be configured as </w:t>
      </w:r>
      <w:r w:rsidRPr="00D45503">
        <w:rPr>
          <w:rFonts w:ascii="Times New Roman" w:hAnsi="Times New Roman"/>
          <w:b w:val="0"/>
          <w:bCs w:val="0"/>
          <w:color w:val="000000"/>
        </w:rPr>
        <w:t>Signalling-based</w:t>
      </w:r>
      <w:r w:rsidR="00E050CF">
        <w:rPr>
          <w:rFonts w:ascii="Times New Roman" w:hAnsi="Times New Roman"/>
          <w:b w:val="0"/>
          <w:bCs w:val="0"/>
          <w:color w:val="000000"/>
        </w:rPr>
        <w:t xml:space="preserve">. In such the </w:t>
      </w:r>
      <w:r w:rsidR="00E050CF" w:rsidRPr="00D45503">
        <w:rPr>
          <w:rFonts w:ascii="Times New Roman" w:hAnsi="Times New Roman"/>
          <w:b w:val="0"/>
          <w:bCs w:val="0"/>
          <w:color w:val="000000"/>
        </w:rPr>
        <w:t>Signalling-based</w:t>
      </w:r>
      <w:r w:rsidR="00E050CF">
        <w:rPr>
          <w:rFonts w:ascii="Times New Roman" w:hAnsi="Times New Roman"/>
          <w:b w:val="0"/>
          <w:bCs w:val="0"/>
          <w:color w:val="000000"/>
        </w:rPr>
        <w:t xml:space="preserve"> configuration may override the </w:t>
      </w:r>
      <w:r w:rsidR="00E050CF" w:rsidRPr="00D45503">
        <w:rPr>
          <w:rFonts w:ascii="Times New Roman" w:hAnsi="Times New Roman" w:hint="eastAsia"/>
          <w:b w:val="0"/>
          <w:bCs w:val="0"/>
          <w:color w:val="000000"/>
        </w:rPr>
        <w:t>Management</w:t>
      </w:r>
      <w:r w:rsidR="00E050CF" w:rsidRPr="00D45503">
        <w:rPr>
          <w:rFonts w:ascii="Times New Roman" w:hAnsi="Times New Roman"/>
          <w:b w:val="0"/>
          <w:bCs w:val="0"/>
          <w:color w:val="000000"/>
        </w:rPr>
        <w:t>-based</w:t>
      </w:r>
      <w:r w:rsidR="00E050CF">
        <w:rPr>
          <w:rFonts w:ascii="Times New Roman" w:hAnsi="Times New Roman"/>
          <w:b w:val="0"/>
          <w:bCs w:val="0"/>
          <w:color w:val="000000"/>
        </w:rPr>
        <w:t xml:space="preserve"> configuration. But, </w:t>
      </w:r>
      <w:r w:rsidR="00E050CF" w:rsidRPr="00D45503">
        <w:rPr>
          <w:rFonts w:ascii="Times New Roman" w:hAnsi="Times New Roman" w:hint="eastAsia"/>
          <w:b w:val="0"/>
          <w:bCs w:val="0"/>
          <w:color w:val="000000"/>
        </w:rPr>
        <w:t>Management</w:t>
      </w:r>
      <w:r w:rsidR="00E050CF" w:rsidRPr="00D45503">
        <w:rPr>
          <w:rFonts w:ascii="Times New Roman" w:hAnsi="Times New Roman"/>
          <w:b w:val="0"/>
          <w:bCs w:val="0"/>
          <w:color w:val="000000"/>
        </w:rPr>
        <w:t>-based</w:t>
      </w:r>
      <w:r w:rsidR="00E050CF">
        <w:rPr>
          <w:rFonts w:ascii="Times New Roman" w:hAnsi="Times New Roman"/>
          <w:b w:val="0"/>
          <w:bCs w:val="0"/>
          <w:color w:val="000000"/>
        </w:rPr>
        <w:t xml:space="preserve"> configuration should not override </w:t>
      </w:r>
      <w:r w:rsidR="00E050CF" w:rsidRPr="00D45503">
        <w:rPr>
          <w:rFonts w:ascii="Times New Roman" w:hAnsi="Times New Roman"/>
          <w:b w:val="0"/>
          <w:bCs w:val="0"/>
          <w:color w:val="000000"/>
        </w:rPr>
        <w:t>Signalling-based</w:t>
      </w:r>
      <w:r w:rsidR="00E050CF" w:rsidRPr="00E050CF">
        <w:rPr>
          <w:rFonts w:ascii="Times New Roman" w:hAnsi="Times New Roman"/>
          <w:b w:val="0"/>
          <w:bCs w:val="0"/>
          <w:color w:val="000000"/>
        </w:rPr>
        <w:t xml:space="preserve"> </w:t>
      </w:r>
      <w:r w:rsidR="00E050CF">
        <w:rPr>
          <w:rFonts w:ascii="Times New Roman" w:hAnsi="Times New Roman"/>
          <w:b w:val="0"/>
          <w:bCs w:val="0"/>
          <w:color w:val="000000"/>
        </w:rPr>
        <w:t>configuration.</w:t>
      </w:r>
    </w:p>
    <w:p w14:paraId="2C3A08F3" w14:textId="660E2BFC" w:rsidR="00E050CF" w:rsidRDefault="00E050CF" w:rsidP="006000C8">
      <w:pPr>
        <w:pStyle w:val="Proposal"/>
        <w:rPr>
          <w:rFonts w:ascii="Times New Roman" w:hAnsi="Times New Roman"/>
          <w:b w:val="0"/>
          <w:bCs w:val="0"/>
          <w:color w:val="000000"/>
        </w:rPr>
      </w:pPr>
      <w:r>
        <w:rPr>
          <w:rFonts w:ascii="Times New Roman" w:hAnsi="Times New Roman"/>
          <w:b w:val="0"/>
          <w:bCs w:val="0"/>
          <w:color w:val="000000"/>
        </w:rPr>
        <w:t>Therefore,</w:t>
      </w:r>
    </w:p>
    <w:p w14:paraId="77122E1A" w14:textId="77777777" w:rsidR="00E050CF" w:rsidRPr="00E050CF" w:rsidRDefault="00E050CF" w:rsidP="00E050CF">
      <w:pPr>
        <w:pStyle w:val="Proposal"/>
        <w:numPr>
          <w:ilvl w:val="0"/>
          <w:numId w:val="6"/>
        </w:numPr>
        <w:ind w:left="1701" w:hanging="1701"/>
        <w:rPr>
          <w:rFonts w:ascii="Times New Roman" w:hAnsi="Times New Roman"/>
          <w:color w:val="000000"/>
        </w:rPr>
      </w:pPr>
      <w:r w:rsidRPr="00E050CF">
        <w:rPr>
          <w:rFonts w:ascii="Times New Roman" w:hAnsi="Times New Roman"/>
          <w:color w:val="000000"/>
        </w:rPr>
        <w:t>Management based QoE configuration should not override signalling based QoE configuration.</w:t>
      </w:r>
    </w:p>
    <w:p w14:paraId="25BE801F" w14:textId="77777777" w:rsidR="00E71DEB" w:rsidRPr="00B74A96" w:rsidRDefault="00E71DEB" w:rsidP="00577B1F">
      <w:pPr>
        <w:pStyle w:val="a0"/>
        <w:rPr>
          <w:b/>
          <w:bCs/>
          <w:color w:val="000000"/>
          <w:lang w:val="en-GB"/>
        </w:rPr>
      </w:pP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4D410BF0" w14:textId="351D1CD7" w:rsidR="00AF7969" w:rsidRPr="00AF7969" w:rsidRDefault="00AF7969" w:rsidP="00AF7969">
      <w:pPr>
        <w:pStyle w:val="a0"/>
        <w:rPr>
          <w:lang w:val="en-GB" w:eastAsia="en-GB"/>
        </w:rPr>
      </w:pPr>
      <w:r>
        <w:rPr>
          <w:szCs w:val="21"/>
        </w:rPr>
        <w:t xml:space="preserve">This paper </w:t>
      </w:r>
      <w:r w:rsidR="00BB3B88">
        <w:rPr>
          <w:szCs w:val="21"/>
        </w:rPr>
        <w:t xml:space="preserve">further </w:t>
      </w:r>
      <w:r>
        <w:rPr>
          <w:szCs w:val="21"/>
        </w:rPr>
        <w:t xml:space="preserve">discussed </w:t>
      </w:r>
      <w:r w:rsidR="00D57ADF" w:rsidRPr="005D4E67">
        <w:rPr>
          <w:szCs w:val="21"/>
        </w:rPr>
        <w:t>QoE management</w:t>
      </w:r>
      <w:r w:rsidR="00D57ADF">
        <w:rPr>
          <w:szCs w:val="21"/>
        </w:rPr>
        <w:t xml:space="preserve"> configuration and handling</w:t>
      </w:r>
      <w:r w:rsidR="00BB3B88">
        <w:rPr>
          <w:szCs w:val="21"/>
        </w:rPr>
        <w:t>.</w:t>
      </w:r>
      <w:r>
        <w:rPr>
          <w:szCs w:val="21"/>
        </w:rPr>
        <w:t xml:space="preserve"> The paper concludes with:</w:t>
      </w:r>
    </w:p>
    <w:p w14:paraId="574A0869" w14:textId="6FCB3603" w:rsidR="00D57A7B" w:rsidRPr="009731F2" w:rsidRDefault="009731F2" w:rsidP="002E500E">
      <w:pPr>
        <w:pStyle w:val="a0"/>
        <w:ind w:left="1440" w:hanging="1440"/>
        <w:rPr>
          <w:rFonts w:eastAsia="Times New Roman"/>
          <w:b/>
          <w:color w:val="000000"/>
          <w:lang w:val="en-GB"/>
        </w:rPr>
      </w:pPr>
      <w:r w:rsidRPr="002E500E">
        <w:rPr>
          <w:rFonts w:eastAsia="Times New Roman"/>
          <w:b/>
          <w:color w:val="000000"/>
          <w:lang w:val="en-GB"/>
        </w:rPr>
        <w:fldChar w:fldCharType="begin"/>
      </w:r>
      <w:r w:rsidRPr="009731F2">
        <w:rPr>
          <w:rFonts w:eastAsia="Times New Roman"/>
          <w:b/>
          <w:color w:val="000000"/>
          <w:lang w:val="en-GB"/>
        </w:rPr>
        <w:instrText xml:space="preserve"> REF _Ref61598384 \r \h </w:instrText>
      </w:r>
      <w:r w:rsidRPr="002E500E">
        <w:rPr>
          <w:rFonts w:eastAsia="Times New Roman"/>
          <w:b/>
          <w:color w:val="000000"/>
          <w:lang w:val="en-GB"/>
        </w:rPr>
        <w:instrText xml:space="preserve"> \* MERGEFORMAT </w:instrText>
      </w:r>
      <w:r w:rsidRPr="002E500E">
        <w:rPr>
          <w:rFonts w:eastAsia="Times New Roman"/>
          <w:b/>
          <w:color w:val="000000"/>
          <w:lang w:val="en-GB"/>
        </w:rPr>
      </w:r>
      <w:r w:rsidRPr="002E500E">
        <w:rPr>
          <w:rFonts w:eastAsia="Times New Roman"/>
          <w:b/>
          <w:color w:val="000000"/>
          <w:lang w:val="en-GB"/>
        </w:rPr>
        <w:fldChar w:fldCharType="separate"/>
      </w:r>
      <w:r w:rsidR="00CD1741">
        <w:rPr>
          <w:rFonts w:eastAsia="Times New Roman"/>
          <w:b/>
          <w:color w:val="000000"/>
          <w:lang w:val="en-GB"/>
        </w:rPr>
        <w:t>Observation 1:</w:t>
      </w:r>
      <w:r w:rsidRPr="002E500E">
        <w:rPr>
          <w:rFonts w:eastAsia="Times New Roman"/>
          <w:b/>
          <w:color w:val="000000"/>
          <w:lang w:val="en-GB"/>
        </w:rPr>
        <w:fldChar w:fldCharType="end"/>
      </w:r>
      <w:r w:rsidRPr="009731F2">
        <w:rPr>
          <w:rFonts w:eastAsia="Times New Roman"/>
          <w:b/>
          <w:color w:val="000000"/>
          <w:lang w:val="en-GB"/>
        </w:rPr>
        <w:tab/>
      </w:r>
      <w:r w:rsidRPr="002E500E">
        <w:rPr>
          <w:rFonts w:eastAsia="Times New Roman"/>
          <w:b/>
          <w:color w:val="000000"/>
          <w:lang w:val="en-GB"/>
        </w:rPr>
        <w:fldChar w:fldCharType="begin"/>
      </w:r>
      <w:r w:rsidRPr="009731F2">
        <w:rPr>
          <w:rFonts w:eastAsia="Times New Roman"/>
          <w:b/>
          <w:color w:val="000000"/>
          <w:lang w:val="en-GB"/>
        </w:rPr>
        <w:instrText xml:space="preserve"> REF _Ref61598384 \h </w:instrText>
      </w:r>
      <w:r w:rsidRPr="002E500E">
        <w:rPr>
          <w:rFonts w:eastAsia="Times New Roman"/>
          <w:b/>
          <w:color w:val="000000"/>
          <w:lang w:val="en-GB"/>
        </w:rPr>
        <w:instrText xml:space="preserve"> \* MERGEFORMAT </w:instrText>
      </w:r>
      <w:r w:rsidRPr="002E500E">
        <w:rPr>
          <w:rFonts w:eastAsia="Times New Roman"/>
          <w:b/>
          <w:color w:val="000000"/>
          <w:lang w:val="en-GB"/>
        </w:rPr>
      </w:r>
      <w:r w:rsidRPr="002E500E">
        <w:rPr>
          <w:rFonts w:eastAsia="Times New Roman"/>
          <w:b/>
          <w:color w:val="000000"/>
          <w:lang w:val="en-GB"/>
        </w:rPr>
        <w:fldChar w:fldCharType="separate"/>
      </w:r>
      <w:r w:rsidR="00CD1741" w:rsidRPr="00CD1741">
        <w:rPr>
          <w:b/>
        </w:rPr>
        <w:t>Single QoE configuration for multiple service application is not helpful for QoE monitoring and optimization.</w:t>
      </w:r>
      <w:r w:rsidRPr="002E500E">
        <w:rPr>
          <w:rFonts w:eastAsia="Times New Roman"/>
          <w:b/>
          <w:color w:val="000000"/>
          <w:lang w:val="en-GB"/>
        </w:rPr>
        <w:fldChar w:fldCharType="end"/>
      </w:r>
    </w:p>
    <w:p w14:paraId="5C85803E" w14:textId="2343BB63" w:rsidR="009731F2" w:rsidRPr="009731F2" w:rsidRDefault="009731F2" w:rsidP="002E500E">
      <w:pPr>
        <w:pStyle w:val="a0"/>
        <w:ind w:left="1440" w:hanging="1440"/>
        <w:rPr>
          <w:rFonts w:eastAsia="Times New Roman"/>
          <w:b/>
          <w:color w:val="000000"/>
          <w:lang w:val="en-GB"/>
        </w:rPr>
      </w:pPr>
      <w:r w:rsidRPr="002E500E">
        <w:rPr>
          <w:rFonts w:eastAsia="Times New Roman"/>
          <w:b/>
          <w:color w:val="000000"/>
          <w:lang w:val="en-GB"/>
        </w:rPr>
        <w:fldChar w:fldCharType="begin"/>
      </w:r>
      <w:r w:rsidRPr="009731F2">
        <w:rPr>
          <w:rFonts w:eastAsia="Times New Roman"/>
          <w:b/>
          <w:color w:val="000000"/>
          <w:lang w:val="en-GB"/>
        </w:rPr>
        <w:instrText xml:space="preserve"> REF _Ref61598399 \r \h </w:instrText>
      </w:r>
      <w:r w:rsidRPr="002E500E">
        <w:rPr>
          <w:rFonts w:eastAsia="Times New Roman"/>
          <w:b/>
          <w:color w:val="000000"/>
          <w:lang w:val="en-GB"/>
        </w:rPr>
        <w:instrText xml:space="preserve"> \* MERGEFORMAT </w:instrText>
      </w:r>
      <w:r w:rsidRPr="002E500E">
        <w:rPr>
          <w:rFonts w:eastAsia="Times New Roman"/>
          <w:b/>
          <w:color w:val="000000"/>
          <w:lang w:val="en-GB"/>
        </w:rPr>
      </w:r>
      <w:r w:rsidRPr="002E500E">
        <w:rPr>
          <w:rFonts w:eastAsia="Times New Roman"/>
          <w:b/>
          <w:color w:val="000000"/>
          <w:lang w:val="en-GB"/>
        </w:rPr>
        <w:fldChar w:fldCharType="separate"/>
      </w:r>
      <w:r w:rsidR="00CD1741">
        <w:rPr>
          <w:rFonts w:eastAsia="Times New Roman"/>
          <w:b/>
          <w:color w:val="000000"/>
          <w:lang w:val="en-GB"/>
        </w:rPr>
        <w:t>Proposal 1</w:t>
      </w:r>
      <w:r w:rsidR="00CD1741">
        <w:rPr>
          <w:rFonts w:ascii="宋体" w:eastAsia="宋体" w:hAnsi="宋体" w:cs="宋体" w:hint="eastAsia"/>
          <w:b/>
          <w:color w:val="000000"/>
          <w:lang w:val="en-GB"/>
        </w:rPr>
        <w:t>：</w:t>
      </w:r>
      <w:r w:rsidRPr="002E500E">
        <w:rPr>
          <w:rFonts w:eastAsia="Times New Roman"/>
          <w:b/>
          <w:color w:val="000000"/>
          <w:lang w:val="en-GB"/>
        </w:rPr>
        <w:fldChar w:fldCharType="end"/>
      </w:r>
      <w:r w:rsidRPr="009731F2">
        <w:rPr>
          <w:rFonts w:eastAsia="Times New Roman"/>
          <w:b/>
          <w:color w:val="000000"/>
          <w:lang w:val="en-GB"/>
        </w:rPr>
        <w:tab/>
      </w:r>
      <w:r w:rsidRPr="002E500E">
        <w:rPr>
          <w:rFonts w:eastAsia="Times New Roman"/>
          <w:b/>
          <w:color w:val="000000"/>
          <w:lang w:val="en-GB"/>
        </w:rPr>
        <w:fldChar w:fldCharType="begin"/>
      </w:r>
      <w:r w:rsidRPr="009731F2">
        <w:rPr>
          <w:rFonts w:eastAsia="Times New Roman"/>
          <w:b/>
          <w:color w:val="000000"/>
          <w:lang w:val="en-GB"/>
        </w:rPr>
        <w:instrText xml:space="preserve"> REF _Ref61598399 \h </w:instrText>
      </w:r>
      <w:r w:rsidRPr="002E500E">
        <w:rPr>
          <w:rFonts w:eastAsia="Times New Roman"/>
          <w:b/>
          <w:color w:val="000000"/>
          <w:lang w:val="en-GB"/>
        </w:rPr>
        <w:instrText xml:space="preserve"> \* MERGEFORMAT </w:instrText>
      </w:r>
      <w:r w:rsidRPr="002E500E">
        <w:rPr>
          <w:rFonts w:eastAsia="Times New Roman"/>
          <w:b/>
          <w:color w:val="000000"/>
          <w:lang w:val="en-GB"/>
        </w:rPr>
      </w:r>
      <w:r w:rsidRPr="002E500E">
        <w:rPr>
          <w:rFonts w:eastAsia="Times New Roman"/>
          <w:b/>
          <w:color w:val="000000"/>
          <w:lang w:val="en-GB"/>
        </w:rPr>
        <w:fldChar w:fldCharType="separate"/>
      </w:r>
      <w:r w:rsidR="00CD1741" w:rsidRPr="00CD1741">
        <w:rPr>
          <w:b/>
          <w:color w:val="000000"/>
        </w:rPr>
        <w:t>Network can configure UE with multiple QoE reporting and UE should be able to report QoE measurement per service application</w:t>
      </w:r>
      <w:r w:rsidRPr="002E500E">
        <w:rPr>
          <w:rFonts w:eastAsia="Times New Roman"/>
          <w:b/>
          <w:color w:val="000000"/>
          <w:lang w:val="en-GB"/>
        </w:rPr>
        <w:fldChar w:fldCharType="end"/>
      </w:r>
    </w:p>
    <w:p w14:paraId="0A6FCEBE" w14:textId="77777777" w:rsidR="002D3860" w:rsidRDefault="002D3860" w:rsidP="002D3860">
      <w:pPr>
        <w:pStyle w:val="a0"/>
        <w:ind w:left="1440" w:hanging="1440"/>
        <w:rPr>
          <w:rFonts w:eastAsia="Times New Roman"/>
          <w:b/>
          <w:color w:val="000000"/>
          <w:lang w:val="en-GB"/>
        </w:rPr>
      </w:pPr>
      <w:r w:rsidRPr="005476F9">
        <w:rPr>
          <w:rFonts w:eastAsia="Times New Roman" w:hint="eastAsia"/>
          <w:b/>
          <w:color w:val="000000"/>
          <w:lang w:val="en-GB"/>
        </w:rPr>
        <w:t>Proposal 2</w:t>
      </w:r>
      <w:r w:rsidRPr="005476F9">
        <w:rPr>
          <w:rFonts w:ascii="宋体" w:eastAsia="宋体" w:hAnsi="宋体" w:cs="宋体" w:hint="eastAsia"/>
          <w:b/>
          <w:color w:val="000000"/>
          <w:lang w:val="en-GB"/>
        </w:rPr>
        <w:t>：</w:t>
      </w:r>
      <w:r w:rsidRPr="005476F9">
        <w:rPr>
          <w:rFonts w:eastAsia="Times New Roman" w:hint="eastAsia"/>
          <w:b/>
          <w:color w:val="000000"/>
          <w:lang w:val="en-GB"/>
        </w:rPr>
        <w:tab/>
        <w:t>Methods for collection and reporting of radio related QoE measurements should be done by existing collection and reporting of radio related Rel-17 MDT measurements methods, as far as applicable.</w:t>
      </w:r>
    </w:p>
    <w:p w14:paraId="7E5B1095" w14:textId="77777777" w:rsidR="002D3860" w:rsidRDefault="002D3860" w:rsidP="002D3860">
      <w:pPr>
        <w:pStyle w:val="a0"/>
        <w:ind w:left="1440" w:hanging="1440"/>
        <w:rPr>
          <w:rFonts w:eastAsia="Times New Roman"/>
          <w:b/>
          <w:color w:val="000000"/>
          <w:lang w:val="en-GB"/>
        </w:rPr>
      </w:pPr>
      <w:r w:rsidRPr="005476F9">
        <w:rPr>
          <w:rFonts w:eastAsia="Times New Roman" w:hint="eastAsia"/>
          <w:b/>
          <w:color w:val="000000"/>
          <w:lang w:val="en-GB"/>
        </w:rPr>
        <w:t>Proposal 3</w:t>
      </w:r>
      <w:r w:rsidRPr="005476F9">
        <w:rPr>
          <w:rFonts w:ascii="宋体" w:eastAsia="宋体" w:hAnsi="宋体" w:cs="宋体" w:hint="eastAsia"/>
          <w:b/>
          <w:color w:val="000000"/>
          <w:lang w:val="en-GB"/>
        </w:rPr>
        <w:t>：</w:t>
      </w:r>
      <w:r w:rsidRPr="005476F9">
        <w:rPr>
          <w:rFonts w:eastAsia="Times New Roman" w:hint="eastAsia"/>
          <w:b/>
          <w:color w:val="000000"/>
          <w:lang w:val="en-GB"/>
        </w:rPr>
        <w:tab/>
        <w:t>Both Signalling-based or Management-based QoE measurement activate or de-activate are supported in the WI.</w:t>
      </w:r>
    </w:p>
    <w:p w14:paraId="12C9D62E" w14:textId="069821DD" w:rsidR="005476F9" w:rsidRPr="009731F2" w:rsidRDefault="002D3860" w:rsidP="002D3860">
      <w:pPr>
        <w:pStyle w:val="a0"/>
        <w:ind w:left="1440" w:hanging="1440"/>
        <w:rPr>
          <w:rFonts w:eastAsia="Times New Roman"/>
          <w:b/>
          <w:color w:val="000000"/>
          <w:lang w:val="en-GB"/>
        </w:rPr>
      </w:pPr>
      <w:r w:rsidRPr="005476F9">
        <w:rPr>
          <w:rFonts w:eastAsia="Times New Roman" w:hint="eastAsia"/>
          <w:b/>
          <w:color w:val="000000"/>
          <w:lang w:val="en-GB"/>
        </w:rPr>
        <w:t>Proposal 4</w:t>
      </w:r>
      <w:r w:rsidRPr="005476F9">
        <w:rPr>
          <w:rFonts w:ascii="宋体" w:eastAsia="宋体" w:hAnsi="宋体" w:cs="宋体" w:hint="eastAsia"/>
          <w:b/>
          <w:color w:val="000000"/>
          <w:lang w:val="en-GB"/>
        </w:rPr>
        <w:t>：</w:t>
      </w:r>
      <w:r w:rsidRPr="005476F9">
        <w:rPr>
          <w:rFonts w:eastAsia="Times New Roman" w:hint="eastAsia"/>
          <w:b/>
          <w:color w:val="000000"/>
          <w:lang w:val="en-GB"/>
        </w:rPr>
        <w:tab/>
        <w:t>Management based QoE configuration should not override signalling based QoE configuration.</w:t>
      </w:r>
    </w:p>
    <w:p w14:paraId="6CC5637A" w14:textId="453B71EF"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4"/>
    <w:bookmarkEnd w:id="5"/>
    <w:p w14:paraId="78E01C79" w14:textId="32172EE5" w:rsidR="00CD5A26" w:rsidRDefault="003C7AC1" w:rsidP="00D16BCC">
      <w:pPr>
        <w:pStyle w:val="a0"/>
        <w:numPr>
          <w:ilvl w:val="0"/>
          <w:numId w:val="11"/>
        </w:numPr>
        <w:snapToGrid w:val="0"/>
        <w:spacing w:line="268" w:lineRule="auto"/>
        <w:contextualSpacing/>
        <w:rPr>
          <w:szCs w:val="21"/>
        </w:rPr>
      </w:pPr>
      <w:r>
        <w:rPr>
          <w:rFonts w:hint="eastAsia"/>
        </w:rPr>
        <w:t>RP-210913</w:t>
      </w:r>
      <w:r w:rsidR="008659AA" w:rsidRPr="003C7AC1">
        <w:t xml:space="preserve">, </w:t>
      </w:r>
      <w:r w:rsidRPr="003C7AC1">
        <w:t xml:space="preserve">New </w:t>
      </w:r>
      <w:r w:rsidRPr="003C7AC1">
        <w:rPr>
          <w:rFonts w:hint="eastAsia"/>
        </w:rPr>
        <w:t>W</w:t>
      </w:r>
      <w:r w:rsidRPr="003C7AC1">
        <w:t>ID</w:t>
      </w:r>
      <w:r w:rsidRPr="003C7AC1">
        <w:rPr>
          <w:rFonts w:hint="eastAsia"/>
        </w:rPr>
        <w:t xml:space="preserve"> on</w:t>
      </w:r>
      <w:r w:rsidRPr="003C7AC1">
        <w:t xml:space="preserve"> NR QoE management and optimizations for diverse services</w:t>
      </w:r>
    </w:p>
    <w:p w14:paraId="5EBAF339" w14:textId="2A383F16" w:rsidR="008659AA" w:rsidRPr="008659AA" w:rsidRDefault="008659AA" w:rsidP="00807DB4">
      <w:pPr>
        <w:pStyle w:val="a0"/>
        <w:snapToGrid w:val="0"/>
        <w:spacing w:line="268" w:lineRule="auto"/>
        <w:ind w:left="420"/>
        <w:contextualSpacing/>
        <w:rPr>
          <w:szCs w:val="21"/>
        </w:rPr>
      </w:pP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9C210" w14:textId="77777777" w:rsidR="00C10187" w:rsidRDefault="00C10187">
      <w:r>
        <w:separator/>
      </w:r>
    </w:p>
  </w:endnote>
  <w:endnote w:type="continuationSeparator" w:id="0">
    <w:p w14:paraId="44C7F57D" w14:textId="77777777" w:rsidR="00C10187" w:rsidRDefault="00C10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F4D52" w14:textId="77777777" w:rsidR="00C10187" w:rsidRDefault="00C10187">
      <w:r>
        <w:separator/>
      </w:r>
    </w:p>
  </w:footnote>
  <w:footnote w:type="continuationSeparator" w:id="0">
    <w:p w14:paraId="3E653A2E" w14:textId="77777777" w:rsidR="00C10187" w:rsidRDefault="00C101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B28B2"/>
    <w:multiLevelType w:val="hybridMultilevel"/>
    <w:tmpl w:val="2A56A842"/>
    <w:lvl w:ilvl="0" w:tplc="A452860E">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60473A1"/>
    <w:multiLevelType w:val="hybridMultilevel"/>
    <w:tmpl w:val="751412CC"/>
    <w:lvl w:ilvl="0" w:tplc="73EA5494">
      <w:start w:val="1"/>
      <w:numFmt w:val="decimal"/>
      <w:lvlText w:val="Prop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8670604"/>
    <w:multiLevelType w:val="hybridMultilevel"/>
    <w:tmpl w:val="E228C792"/>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75F5108"/>
    <w:multiLevelType w:val="hybridMultilevel"/>
    <w:tmpl w:val="B69AC968"/>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605BC"/>
    <w:multiLevelType w:val="hybridMultilevel"/>
    <w:tmpl w:val="D67877A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595759"/>
    <w:multiLevelType w:val="hybridMultilevel"/>
    <w:tmpl w:val="54780CD2"/>
    <w:lvl w:ilvl="0" w:tplc="086C5CF0">
      <w:start w:val="8"/>
      <w:numFmt w:val="bullet"/>
      <w:lvlText w:val="-"/>
      <w:lvlJc w:val="left"/>
      <w:pPr>
        <w:ind w:left="2061" w:hanging="360"/>
      </w:pPr>
      <w:rPr>
        <w:rFonts w:ascii="Calibri" w:eastAsiaTheme="minorEastAsia" w:hAnsi="Calibri" w:cs="Calibri"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9" w15:restartNumberingAfterBreak="0">
    <w:nsid w:val="1F913197"/>
    <w:multiLevelType w:val="hybridMultilevel"/>
    <w:tmpl w:val="57B4009C"/>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0D6BD2"/>
    <w:multiLevelType w:val="hybridMultilevel"/>
    <w:tmpl w:val="5CE08994"/>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322D12F3"/>
    <w:multiLevelType w:val="hybridMultilevel"/>
    <w:tmpl w:val="48927756"/>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3E5306"/>
    <w:multiLevelType w:val="hybridMultilevel"/>
    <w:tmpl w:val="770453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89148C"/>
    <w:multiLevelType w:val="hybridMultilevel"/>
    <w:tmpl w:val="E21A8448"/>
    <w:lvl w:ilvl="0" w:tplc="A452860E">
      <w:start w:val="1"/>
      <w:numFmt w:val="decimal"/>
      <w:lvlText w:val="%1."/>
      <w:lvlJc w:val="left"/>
      <w:pPr>
        <w:ind w:left="780" w:hanging="360"/>
      </w:pPr>
      <w:rPr>
        <w:rFonts w:hint="default"/>
      </w:rPr>
    </w:lvl>
    <w:lvl w:ilvl="1" w:tplc="04090009">
      <w:start w:val="1"/>
      <w:numFmt w:val="bullet"/>
      <w:lvlText w:val=""/>
      <w:lvlJc w:val="left"/>
      <w:pPr>
        <w:ind w:left="1500" w:hanging="360"/>
      </w:pPr>
      <w:rPr>
        <w:rFonts w:ascii="Wingdings" w:hAnsi="Wingding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3DD3034"/>
    <w:multiLevelType w:val="hybridMultilevel"/>
    <w:tmpl w:val="CD629D2E"/>
    <w:lvl w:ilvl="0" w:tplc="0F765F3A">
      <w:start w:val="3"/>
      <w:numFmt w:val="bullet"/>
      <w:lvlText w:val="-"/>
      <w:lvlJc w:val="left"/>
      <w:pPr>
        <w:ind w:left="720" w:hanging="360"/>
      </w:pPr>
      <w:rPr>
        <w:rFonts w:ascii="Times New Roman" w:eastAsiaTheme="minorEastAsia" w:hAnsi="Times New Roman" w:cs="Times New Roman" w:hint="default"/>
      </w:rPr>
    </w:lvl>
    <w:lvl w:ilvl="1" w:tplc="0F765F3A">
      <w:start w:val="3"/>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E2213"/>
    <w:multiLevelType w:val="hybridMultilevel"/>
    <w:tmpl w:val="E4FAF4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87A399A"/>
    <w:multiLevelType w:val="hybridMultilevel"/>
    <w:tmpl w:val="F2C63EC8"/>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B46E3"/>
    <w:multiLevelType w:val="hybridMultilevel"/>
    <w:tmpl w:val="47446742"/>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4039BD"/>
    <w:multiLevelType w:val="hybridMultilevel"/>
    <w:tmpl w:val="7CDC8BA8"/>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7" w15:restartNumberingAfterBreak="0">
    <w:nsid w:val="65D73880"/>
    <w:multiLevelType w:val="hybridMultilevel"/>
    <w:tmpl w:val="72022DA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DA485E"/>
    <w:multiLevelType w:val="hybridMultilevel"/>
    <w:tmpl w:val="5D62E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E045A6C"/>
    <w:multiLevelType w:val="hybridMultilevel"/>
    <w:tmpl w:val="6BF4DDF8"/>
    <w:lvl w:ilvl="0" w:tplc="0F765F3A">
      <w:start w:val="3"/>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32"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074DF7"/>
    <w:multiLevelType w:val="hybridMultilevel"/>
    <w:tmpl w:val="787C9A1E"/>
    <w:lvl w:ilvl="0" w:tplc="714AC3F4">
      <w:start w:val="1"/>
      <w:numFmt w:val="decimal"/>
      <w:lvlText w:val="%1)"/>
      <w:lvlJc w:val="left"/>
      <w:pPr>
        <w:ind w:left="1080" w:hanging="360"/>
      </w:pPr>
      <w:rPr>
        <w:rFonts w:hint="default"/>
      </w:rPr>
    </w:lvl>
    <w:lvl w:ilvl="1" w:tplc="041D0019">
      <w:start w:val="1"/>
      <w:numFmt w:val="lowerLetter"/>
      <w:lvlText w:val="%2."/>
      <w:lvlJc w:val="left"/>
      <w:pPr>
        <w:ind w:left="1800" w:hanging="360"/>
      </w:pPr>
    </w:lvl>
    <w:lvl w:ilvl="2" w:tplc="041D001B">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5"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91E390D"/>
    <w:multiLevelType w:val="hybridMultilevel"/>
    <w:tmpl w:val="CA70C3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CC72C7E"/>
    <w:multiLevelType w:val="hybridMultilevel"/>
    <w:tmpl w:val="2DF4721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18"/>
  </w:num>
  <w:num w:numId="3">
    <w:abstractNumId w:val="29"/>
  </w:num>
  <w:num w:numId="4">
    <w:abstractNumId w:val="14"/>
  </w:num>
  <w:num w:numId="5">
    <w:abstractNumId w:val="31"/>
  </w:num>
  <w:num w:numId="6">
    <w:abstractNumId w:val="10"/>
  </w:num>
  <w:num w:numId="7">
    <w:abstractNumId w:val="2"/>
  </w:num>
  <w:num w:numId="8">
    <w:abstractNumId w:val="24"/>
  </w:num>
  <w:num w:numId="9">
    <w:abstractNumId w:val="12"/>
  </w:num>
  <w:num w:numId="10">
    <w:abstractNumId w:val="26"/>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5"/>
  </w:num>
  <w:num w:numId="14">
    <w:abstractNumId w:val="5"/>
  </w:num>
  <w:num w:numId="15">
    <w:abstractNumId w:val="13"/>
  </w:num>
  <w:num w:numId="16">
    <w:abstractNumId w:val="38"/>
  </w:num>
  <w:num w:numId="17">
    <w:abstractNumId w:val="19"/>
  </w:num>
  <w:num w:numId="18">
    <w:abstractNumId w:val="1"/>
  </w:num>
  <w:num w:numId="19">
    <w:abstractNumId w:val="27"/>
  </w:num>
  <w:num w:numId="20">
    <w:abstractNumId w:val="3"/>
  </w:num>
  <w:num w:numId="21">
    <w:abstractNumId w:val="0"/>
  </w:num>
  <w:num w:numId="22">
    <w:abstractNumId w:val="17"/>
  </w:num>
  <w:num w:numId="23">
    <w:abstractNumId w:val="28"/>
  </w:num>
  <w:num w:numId="24">
    <w:abstractNumId w:val="16"/>
  </w:num>
  <w:num w:numId="25">
    <w:abstractNumId w:val="25"/>
  </w:num>
  <w:num w:numId="26">
    <w:abstractNumId w:val="30"/>
  </w:num>
  <w:num w:numId="27">
    <w:abstractNumId w:val="9"/>
  </w:num>
  <w:num w:numId="28">
    <w:abstractNumId w:val="4"/>
  </w:num>
  <w:num w:numId="29">
    <w:abstractNumId w:val="7"/>
  </w:num>
  <w:num w:numId="30">
    <w:abstractNumId w:val="22"/>
  </w:num>
  <w:num w:numId="31">
    <w:abstractNumId w:val="32"/>
  </w:num>
  <w:num w:numId="32">
    <w:abstractNumId w:val="6"/>
  </w:num>
  <w:num w:numId="33">
    <w:abstractNumId w:val="34"/>
  </w:num>
  <w:num w:numId="34">
    <w:abstractNumId w:val="36"/>
  </w:num>
  <w:num w:numId="35">
    <w:abstractNumId w:val="20"/>
  </w:num>
  <w:num w:numId="36">
    <w:abstractNumId w:val="21"/>
  </w:num>
  <w:num w:numId="37">
    <w:abstractNumId w:val="8"/>
  </w:num>
  <w:num w:numId="38">
    <w:abstractNumId w:val="23"/>
  </w:num>
  <w:num w:numId="39">
    <w:abstractNumId w:val="35"/>
  </w:num>
  <w:num w:numId="40">
    <w:abstractNumId w:val="3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qwUASbZZUiwAAAA="/>
  </w:docVars>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05C"/>
    <w:rsid w:val="000241CB"/>
    <w:rsid w:val="00024245"/>
    <w:rsid w:val="0002425E"/>
    <w:rsid w:val="000248D2"/>
    <w:rsid w:val="00024A62"/>
    <w:rsid w:val="000250AB"/>
    <w:rsid w:val="0002552A"/>
    <w:rsid w:val="00025A64"/>
    <w:rsid w:val="000260C1"/>
    <w:rsid w:val="00026748"/>
    <w:rsid w:val="00026B1D"/>
    <w:rsid w:val="00026FD8"/>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5A3"/>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0EE"/>
    <w:rsid w:val="000578DC"/>
    <w:rsid w:val="00057BFD"/>
    <w:rsid w:val="00057DEA"/>
    <w:rsid w:val="00060466"/>
    <w:rsid w:val="0006092E"/>
    <w:rsid w:val="00060B20"/>
    <w:rsid w:val="00060CE4"/>
    <w:rsid w:val="00060F27"/>
    <w:rsid w:val="000613E6"/>
    <w:rsid w:val="0006169D"/>
    <w:rsid w:val="00062098"/>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25A"/>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6FCD"/>
    <w:rsid w:val="0007725E"/>
    <w:rsid w:val="000773D6"/>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B6D"/>
    <w:rsid w:val="00090FD2"/>
    <w:rsid w:val="000913F2"/>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A99"/>
    <w:rsid w:val="000C3DCD"/>
    <w:rsid w:val="000C4018"/>
    <w:rsid w:val="000C46B4"/>
    <w:rsid w:val="000C488B"/>
    <w:rsid w:val="000C4D73"/>
    <w:rsid w:val="000C515A"/>
    <w:rsid w:val="000C519A"/>
    <w:rsid w:val="000C546A"/>
    <w:rsid w:val="000C58DC"/>
    <w:rsid w:val="000C632B"/>
    <w:rsid w:val="000C662A"/>
    <w:rsid w:val="000D012F"/>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BFF"/>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4AC"/>
    <w:rsid w:val="000E38A8"/>
    <w:rsid w:val="000E38CF"/>
    <w:rsid w:val="000E3C6B"/>
    <w:rsid w:val="000E3D0E"/>
    <w:rsid w:val="000E4629"/>
    <w:rsid w:val="000E4C28"/>
    <w:rsid w:val="000E4E15"/>
    <w:rsid w:val="000E4E3D"/>
    <w:rsid w:val="000E570C"/>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6EF"/>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0F3A"/>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9C0"/>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68"/>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192"/>
    <w:rsid w:val="0014728B"/>
    <w:rsid w:val="00147935"/>
    <w:rsid w:val="001479C4"/>
    <w:rsid w:val="00147C8B"/>
    <w:rsid w:val="00147F44"/>
    <w:rsid w:val="001502A4"/>
    <w:rsid w:val="001507FD"/>
    <w:rsid w:val="0015097A"/>
    <w:rsid w:val="00150AD5"/>
    <w:rsid w:val="00150E42"/>
    <w:rsid w:val="001511AD"/>
    <w:rsid w:val="001511FC"/>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18"/>
    <w:rsid w:val="00180F9D"/>
    <w:rsid w:val="0018118D"/>
    <w:rsid w:val="00181629"/>
    <w:rsid w:val="00182101"/>
    <w:rsid w:val="00182162"/>
    <w:rsid w:val="00182287"/>
    <w:rsid w:val="001822E9"/>
    <w:rsid w:val="001829FA"/>
    <w:rsid w:val="00183510"/>
    <w:rsid w:val="0018370D"/>
    <w:rsid w:val="0018391E"/>
    <w:rsid w:val="00183B5E"/>
    <w:rsid w:val="00183B94"/>
    <w:rsid w:val="00183C8D"/>
    <w:rsid w:val="001841AD"/>
    <w:rsid w:val="00184249"/>
    <w:rsid w:val="00184333"/>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F98"/>
    <w:rsid w:val="00191FB6"/>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5A3"/>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BE3"/>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21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3E8C"/>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791"/>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1B7"/>
    <w:rsid w:val="00231452"/>
    <w:rsid w:val="002319C7"/>
    <w:rsid w:val="00231A3C"/>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47FF3"/>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5B77"/>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2A5"/>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2FA"/>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1E1"/>
    <w:rsid w:val="002947C2"/>
    <w:rsid w:val="002947D5"/>
    <w:rsid w:val="00294AEB"/>
    <w:rsid w:val="00294F47"/>
    <w:rsid w:val="002950BC"/>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37"/>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EB1"/>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BB2"/>
    <w:rsid w:val="002B7D11"/>
    <w:rsid w:val="002C02B6"/>
    <w:rsid w:val="002C02DA"/>
    <w:rsid w:val="002C039C"/>
    <w:rsid w:val="002C061B"/>
    <w:rsid w:val="002C09D3"/>
    <w:rsid w:val="002C0F29"/>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0E9"/>
    <w:rsid w:val="002C6318"/>
    <w:rsid w:val="002C6675"/>
    <w:rsid w:val="002C6EB3"/>
    <w:rsid w:val="002C7118"/>
    <w:rsid w:val="002C7649"/>
    <w:rsid w:val="002C774A"/>
    <w:rsid w:val="002C78B2"/>
    <w:rsid w:val="002C7FF7"/>
    <w:rsid w:val="002D0131"/>
    <w:rsid w:val="002D016F"/>
    <w:rsid w:val="002D06D6"/>
    <w:rsid w:val="002D0742"/>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860"/>
    <w:rsid w:val="002D3E90"/>
    <w:rsid w:val="002D41F7"/>
    <w:rsid w:val="002D4520"/>
    <w:rsid w:val="002D4B13"/>
    <w:rsid w:val="002D4C07"/>
    <w:rsid w:val="002D4CDE"/>
    <w:rsid w:val="002D4D31"/>
    <w:rsid w:val="002D4EDB"/>
    <w:rsid w:val="002D5195"/>
    <w:rsid w:val="002D55C8"/>
    <w:rsid w:val="002D56D2"/>
    <w:rsid w:val="002D5C70"/>
    <w:rsid w:val="002D606C"/>
    <w:rsid w:val="002D65FD"/>
    <w:rsid w:val="002D66E0"/>
    <w:rsid w:val="002D6779"/>
    <w:rsid w:val="002D67F3"/>
    <w:rsid w:val="002D6967"/>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0E"/>
    <w:rsid w:val="002E508A"/>
    <w:rsid w:val="002E560E"/>
    <w:rsid w:val="002E56EC"/>
    <w:rsid w:val="002E56FE"/>
    <w:rsid w:val="002E5874"/>
    <w:rsid w:val="002E5A80"/>
    <w:rsid w:val="002E5DDA"/>
    <w:rsid w:val="002E5DE9"/>
    <w:rsid w:val="002E60F2"/>
    <w:rsid w:val="002E6451"/>
    <w:rsid w:val="002E67BE"/>
    <w:rsid w:val="002E6940"/>
    <w:rsid w:val="002E6B7C"/>
    <w:rsid w:val="002E6C99"/>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2D2F"/>
    <w:rsid w:val="002F307A"/>
    <w:rsid w:val="002F3228"/>
    <w:rsid w:val="002F38E5"/>
    <w:rsid w:val="002F43FC"/>
    <w:rsid w:val="002F4476"/>
    <w:rsid w:val="002F488D"/>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DCE"/>
    <w:rsid w:val="00311253"/>
    <w:rsid w:val="003113D3"/>
    <w:rsid w:val="0031142E"/>
    <w:rsid w:val="00311755"/>
    <w:rsid w:val="0031203F"/>
    <w:rsid w:val="00312C0D"/>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057"/>
    <w:rsid w:val="0035412E"/>
    <w:rsid w:val="003543CC"/>
    <w:rsid w:val="0035441A"/>
    <w:rsid w:val="00354927"/>
    <w:rsid w:val="003550FE"/>
    <w:rsid w:val="00355472"/>
    <w:rsid w:val="00355836"/>
    <w:rsid w:val="00355905"/>
    <w:rsid w:val="00355938"/>
    <w:rsid w:val="00355970"/>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14A"/>
    <w:rsid w:val="00362663"/>
    <w:rsid w:val="00362804"/>
    <w:rsid w:val="0036283C"/>
    <w:rsid w:val="00362F36"/>
    <w:rsid w:val="0036342D"/>
    <w:rsid w:val="00363552"/>
    <w:rsid w:val="00363829"/>
    <w:rsid w:val="00363866"/>
    <w:rsid w:val="00363A13"/>
    <w:rsid w:val="00363A21"/>
    <w:rsid w:val="00363BC1"/>
    <w:rsid w:val="0036442F"/>
    <w:rsid w:val="00364611"/>
    <w:rsid w:val="003647DD"/>
    <w:rsid w:val="00365311"/>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28E"/>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1B8"/>
    <w:rsid w:val="003B557C"/>
    <w:rsid w:val="003B569D"/>
    <w:rsid w:val="003B5B52"/>
    <w:rsid w:val="003B61ED"/>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220"/>
    <w:rsid w:val="003C24B9"/>
    <w:rsid w:val="003C25C1"/>
    <w:rsid w:val="003C28F2"/>
    <w:rsid w:val="003C3267"/>
    <w:rsid w:val="003C39CD"/>
    <w:rsid w:val="003C3D71"/>
    <w:rsid w:val="003C3F11"/>
    <w:rsid w:val="003C44B2"/>
    <w:rsid w:val="003C465E"/>
    <w:rsid w:val="003C4B2F"/>
    <w:rsid w:val="003C4CE4"/>
    <w:rsid w:val="003C4D89"/>
    <w:rsid w:val="003C5004"/>
    <w:rsid w:val="003C509E"/>
    <w:rsid w:val="003C5336"/>
    <w:rsid w:val="003C53EB"/>
    <w:rsid w:val="003C570C"/>
    <w:rsid w:val="003C61C9"/>
    <w:rsid w:val="003C6A7F"/>
    <w:rsid w:val="003C6BCE"/>
    <w:rsid w:val="003C7337"/>
    <w:rsid w:val="003C782F"/>
    <w:rsid w:val="003C7AC1"/>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6054"/>
    <w:rsid w:val="003D62C5"/>
    <w:rsid w:val="003D62FA"/>
    <w:rsid w:val="003D6414"/>
    <w:rsid w:val="003D6E9F"/>
    <w:rsid w:val="003D7272"/>
    <w:rsid w:val="003D7773"/>
    <w:rsid w:val="003D7850"/>
    <w:rsid w:val="003D7978"/>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025"/>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5E2B"/>
    <w:rsid w:val="004161C9"/>
    <w:rsid w:val="00416FAF"/>
    <w:rsid w:val="00417AAE"/>
    <w:rsid w:val="00417BE3"/>
    <w:rsid w:val="00417FBC"/>
    <w:rsid w:val="004209B9"/>
    <w:rsid w:val="00420A0F"/>
    <w:rsid w:val="00420C4F"/>
    <w:rsid w:val="00420DD7"/>
    <w:rsid w:val="00421071"/>
    <w:rsid w:val="004213CE"/>
    <w:rsid w:val="00421B12"/>
    <w:rsid w:val="00421F83"/>
    <w:rsid w:val="0042225C"/>
    <w:rsid w:val="004223DF"/>
    <w:rsid w:val="00422A68"/>
    <w:rsid w:val="00422B2D"/>
    <w:rsid w:val="00422F5E"/>
    <w:rsid w:val="00423437"/>
    <w:rsid w:val="00423795"/>
    <w:rsid w:val="00423D1D"/>
    <w:rsid w:val="004242F7"/>
    <w:rsid w:val="00424AB6"/>
    <w:rsid w:val="00424CC1"/>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37"/>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BFB"/>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BCE"/>
    <w:rsid w:val="00462E23"/>
    <w:rsid w:val="004630AB"/>
    <w:rsid w:val="004631E6"/>
    <w:rsid w:val="00463316"/>
    <w:rsid w:val="004633AD"/>
    <w:rsid w:val="00463500"/>
    <w:rsid w:val="00463692"/>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A8D"/>
    <w:rsid w:val="00467FD6"/>
    <w:rsid w:val="004701D3"/>
    <w:rsid w:val="004705AD"/>
    <w:rsid w:val="00470797"/>
    <w:rsid w:val="00470954"/>
    <w:rsid w:val="004709B8"/>
    <w:rsid w:val="00470A87"/>
    <w:rsid w:val="00470AAD"/>
    <w:rsid w:val="00470C13"/>
    <w:rsid w:val="00471059"/>
    <w:rsid w:val="00471505"/>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85B"/>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8C2"/>
    <w:rsid w:val="00486923"/>
    <w:rsid w:val="00486C1D"/>
    <w:rsid w:val="00486E0F"/>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3E"/>
    <w:rsid w:val="004941D1"/>
    <w:rsid w:val="004943C0"/>
    <w:rsid w:val="00494422"/>
    <w:rsid w:val="0049449C"/>
    <w:rsid w:val="004945E1"/>
    <w:rsid w:val="004948B0"/>
    <w:rsid w:val="00494A0D"/>
    <w:rsid w:val="00494BFE"/>
    <w:rsid w:val="00494E15"/>
    <w:rsid w:val="00494E5F"/>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0AC2"/>
    <w:rsid w:val="004A150D"/>
    <w:rsid w:val="004A1629"/>
    <w:rsid w:val="004A191C"/>
    <w:rsid w:val="004A1C13"/>
    <w:rsid w:val="004A1E52"/>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5DE9"/>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2AA"/>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2AB"/>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D7CB9"/>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462"/>
    <w:rsid w:val="004F3A6D"/>
    <w:rsid w:val="004F437E"/>
    <w:rsid w:val="004F45C6"/>
    <w:rsid w:val="004F45ED"/>
    <w:rsid w:val="004F46F8"/>
    <w:rsid w:val="004F49E3"/>
    <w:rsid w:val="004F4FBA"/>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A3E"/>
    <w:rsid w:val="00500B45"/>
    <w:rsid w:val="00501D22"/>
    <w:rsid w:val="00501F79"/>
    <w:rsid w:val="00502B94"/>
    <w:rsid w:val="00502ECB"/>
    <w:rsid w:val="0050309C"/>
    <w:rsid w:val="005030D4"/>
    <w:rsid w:val="00503308"/>
    <w:rsid w:val="00503AE2"/>
    <w:rsid w:val="00503D93"/>
    <w:rsid w:val="005047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356"/>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335"/>
    <w:rsid w:val="00533770"/>
    <w:rsid w:val="005337A7"/>
    <w:rsid w:val="00533A14"/>
    <w:rsid w:val="00533C6B"/>
    <w:rsid w:val="00533D87"/>
    <w:rsid w:val="005342F5"/>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6F9"/>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7C8"/>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05DC"/>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B1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6A2"/>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5C1"/>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3D2"/>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4E67"/>
    <w:rsid w:val="005D50F4"/>
    <w:rsid w:val="005D519C"/>
    <w:rsid w:val="005D588C"/>
    <w:rsid w:val="005D5D2B"/>
    <w:rsid w:val="005D5D88"/>
    <w:rsid w:val="005D64D0"/>
    <w:rsid w:val="005D65C0"/>
    <w:rsid w:val="005D6C41"/>
    <w:rsid w:val="005D6D0D"/>
    <w:rsid w:val="005D6DBE"/>
    <w:rsid w:val="005D6F28"/>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92D"/>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60"/>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0C8"/>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CB"/>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196"/>
    <w:rsid w:val="00624965"/>
    <w:rsid w:val="00624D92"/>
    <w:rsid w:val="00624E2A"/>
    <w:rsid w:val="0062508A"/>
    <w:rsid w:val="006256B8"/>
    <w:rsid w:val="00625732"/>
    <w:rsid w:val="0062592A"/>
    <w:rsid w:val="00625A16"/>
    <w:rsid w:val="00625ECE"/>
    <w:rsid w:val="006261D9"/>
    <w:rsid w:val="00626712"/>
    <w:rsid w:val="00626A12"/>
    <w:rsid w:val="00627689"/>
    <w:rsid w:val="00627A8E"/>
    <w:rsid w:val="00627FD5"/>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064"/>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5CA6"/>
    <w:rsid w:val="00646875"/>
    <w:rsid w:val="00646B1F"/>
    <w:rsid w:val="00647128"/>
    <w:rsid w:val="006471BF"/>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461"/>
    <w:rsid w:val="006A3926"/>
    <w:rsid w:val="006A3964"/>
    <w:rsid w:val="006A444D"/>
    <w:rsid w:val="006A47AA"/>
    <w:rsid w:val="006A4A44"/>
    <w:rsid w:val="006A4B54"/>
    <w:rsid w:val="006A4E24"/>
    <w:rsid w:val="006A51E3"/>
    <w:rsid w:val="006A51ED"/>
    <w:rsid w:val="006A548A"/>
    <w:rsid w:val="006A551A"/>
    <w:rsid w:val="006A597F"/>
    <w:rsid w:val="006A60A7"/>
    <w:rsid w:val="006A61C0"/>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C33"/>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B61"/>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DD6"/>
    <w:rsid w:val="006D1E2B"/>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36"/>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AE6"/>
    <w:rsid w:val="00732E23"/>
    <w:rsid w:val="0073309C"/>
    <w:rsid w:val="0073359F"/>
    <w:rsid w:val="007339AE"/>
    <w:rsid w:val="00733B12"/>
    <w:rsid w:val="00733CDB"/>
    <w:rsid w:val="00733EFF"/>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5F9"/>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310"/>
    <w:rsid w:val="00757554"/>
    <w:rsid w:val="00757A77"/>
    <w:rsid w:val="007600ED"/>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5F8"/>
    <w:rsid w:val="00773773"/>
    <w:rsid w:val="007738A4"/>
    <w:rsid w:val="007739AA"/>
    <w:rsid w:val="00773AE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127"/>
    <w:rsid w:val="00783646"/>
    <w:rsid w:val="0078368A"/>
    <w:rsid w:val="00783AC2"/>
    <w:rsid w:val="00783EA5"/>
    <w:rsid w:val="00784198"/>
    <w:rsid w:val="0078433D"/>
    <w:rsid w:val="00784463"/>
    <w:rsid w:val="007845D1"/>
    <w:rsid w:val="00784773"/>
    <w:rsid w:val="00784790"/>
    <w:rsid w:val="00784D22"/>
    <w:rsid w:val="00785092"/>
    <w:rsid w:val="00785322"/>
    <w:rsid w:val="007853C5"/>
    <w:rsid w:val="007855E5"/>
    <w:rsid w:val="00785723"/>
    <w:rsid w:val="00785B28"/>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403"/>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47E"/>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42C"/>
    <w:rsid w:val="007D25F4"/>
    <w:rsid w:val="007D2874"/>
    <w:rsid w:val="007D2CEA"/>
    <w:rsid w:val="007D2FA2"/>
    <w:rsid w:val="007D3278"/>
    <w:rsid w:val="007D3355"/>
    <w:rsid w:val="007D3373"/>
    <w:rsid w:val="007D357A"/>
    <w:rsid w:val="007D3ACF"/>
    <w:rsid w:val="007D3CC6"/>
    <w:rsid w:val="007D43F8"/>
    <w:rsid w:val="007D4739"/>
    <w:rsid w:val="007D49DA"/>
    <w:rsid w:val="007D4BA0"/>
    <w:rsid w:val="007D4D87"/>
    <w:rsid w:val="007D4F66"/>
    <w:rsid w:val="007D501C"/>
    <w:rsid w:val="007D516D"/>
    <w:rsid w:val="007D5A29"/>
    <w:rsid w:val="007D5BAE"/>
    <w:rsid w:val="007D63C3"/>
    <w:rsid w:val="007D640D"/>
    <w:rsid w:val="007D65CC"/>
    <w:rsid w:val="007D66F3"/>
    <w:rsid w:val="007D6708"/>
    <w:rsid w:val="007D67E8"/>
    <w:rsid w:val="007D6875"/>
    <w:rsid w:val="007D68D5"/>
    <w:rsid w:val="007D69A5"/>
    <w:rsid w:val="007D6C1A"/>
    <w:rsid w:val="007D712C"/>
    <w:rsid w:val="007D74F7"/>
    <w:rsid w:val="007D752D"/>
    <w:rsid w:val="007D7A16"/>
    <w:rsid w:val="007D7BCA"/>
    <w:rsid w:val="007D7EA9"/>
    <w:rsid w:val="007D7F20"/>
    <w:rsid w:val="007E0290"/>
    <w:rsid w:val="007E0BB8"/>
    <w:rsid w:val="007E0C49"/>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311"/>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59F"/>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07DB4"/>
    <w:rsid w:val="0081007A"/>
    <w:rsid w:val="00810BB6"/>
    <w:rsid w:val="00810E18"/>
    <w:rsid w:val="00810ED7"/>
    <w:rsid w:val="0081101D"/>
    <w:rsid w:val="00811690"/>
    <w:rsid w:val="00811752"/>
    <w:rsid w:val="008117D5"/>
    <w:rsid w:val="0081190D"/>
    <w:rsid w:val="00811BF2"/>
    <w:rsid w:val="00811C09"/>
    <w:rsid w:val="008120AC"/>
    <w:rsid w:val="008120FA"/>
    <w:rsid w:val="008126ED"/>
    <w:rsid w:val="00812D66"/>
    <w:rsid w:val="00812F56"/>
    <w:rsid w:val="00813002"/>
    <w:rsid w:val="0081301E"/>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5D8"/>
    <w:rsid w:val="00835754"/>
    <w:rsid w:val="00835A3C"/>
    <w:rsid w:val="00836066"/>
    <w:rsid w:val="00836757"/>
    <w:rsid w:val="00836D2C"/>
    <w:rsid w:val="0083700B"/>
    <w:rsid w:val="00840019"/>
    <w:rsid w:val="008403DD"/>
    <w:rsid w:val="00840ACA"/>
    <w:rsid w:val="0084165D"/>
    <w:rsid w:val="008416C7"/>
    <w:rsid w:val="0084170A"/>
    <w:rsid w:val="00841E16"/>
    <w:rsid w:val="00841F7B"/>
    <w:rsid w:val="008420F4"/>
    <w:rsid w:val="00842107"/>
    <w:rsid w:val="008421E4"/>
    <w:rsid w:val="0084223E"/>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9AA"/>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EF8"/>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41F"/>
    <w:rsid w:val="008855A7"/>
    <w:rsid w:val="008859EB"/>
    <w:rsid w:val="00885BB6"/>
    <w:rsid w:val="00885BCF"/>
    <w:rsid w:val="00885C18"/>
    <w:rsid w:val="008861F5"/>
    <w:rsid w:val="00886C63"/>
    <w:rsid w:val="00887012"/>
    <w:rsid w:val="0088728A"/>
    <w:rsid w:val="0088750A"/>
    <w:rsid w:val="0088754C"/>
    <w:rsid w:val="00890134"/>
    <w:rsid w:val="00890253"/>
    <w:rsid w:val="008909FD"/>
    <w:rsid w:val="00890AB0"/>
    <w:rsid w:val="00891403"/>
    <w:rsid w:val="00891487"/>
    <w:rsid w:val="00891503"/>
    <w:rsid w:val="008915CC"/>
    <w:rsid w:val="00891A72"/>
    <w:rsid w:val="00891B06"/>
    <w:rsid w:val="00892256"/>
    <w:rsid w:val="008929BE"/>
    <w:rsid w:val="00892C2F"/>
    <w:rsid w:val="00892C3E"/>
    <w:rsid w:val="00892C7D"/>
    <w:rsid w:val="00892F75"/>
    <w:rsid w:val="0089355D"/>
    <w:rsid w:val="00893C03"/>
    <w:rsid w:val="00893E9F"/>
    <w:rsid w:val="00894184"/>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CCF"/>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280A"/>
    <w:rsid w:val="008D2F50"/>
    <w:rsid w:val="008D3083"/>
    <w:rsid w:val="008D3DE5"/>
    <w:rsid w:val="008D4049"/>
    <w:rsid w:val="008D44F9"/>
    <w:rsid w:val="008D4510"/>
    <w:rsid w:val="008D459B"/>
    <w:rsid w:val="008D49C0"/>
    <w:rsid w:val="008D4A14"/>
    <w:rsid w:val="008D4AAF"/>
    <w:rsid w:val="008D4B96"/>
    <w:rsid w:val="008D4C85"/>
    <w:rsid w:val="008D4D03"/>
    <w:rsid w:val="008D4ECE"/>
    <w:rsid w:val="008D50A8"/>
    <w:rsid w:val="008D5541"/>
    <w:rsid w:val="008D59EA"/>
    <w:rsid w:val="008D675E"/>
    <w:rsid w:val="008D6952"/>
    <w:rsid w:val="008D6ED3"/>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069"/>
    <w:rsid w:val="008E7608"/>
    <w:rsid w:val="008E78B6"/>
    <w:rsid w:val="008E793F"/>
    <w:rsid w:val="008E7BC0"/>
    <w:rsid w:val="008E7D63"/>
    <w:rsid w:val="008E7D8C"/>
    <w:rsid w:val="008E7DFA"/>
    <w:rsid w:val="008F0298"/>
    <w:rsid w:val="008F05FB"/>
    <w:rsid w:val="008F07A8"/>
    <w:rsid w:val="008F0847"/>
    <w:rsid w:val="008F093D"/>
    <w:rsid w:val="008F10D7"/>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783"/>
    <w:rsid w:val="00903A24"/>
    <w:rsid w:val="00903A52"/>
    <w:rsid w:val="00903C3C"/>
    <w:rsid w:val="009040E6"/>
    <w:rsid w:val="009042C6"/>
    <w:rsid w:val="009044C2"/>
    <w:rsid w:val="00904A59"/>
    <w:rsid w:val="00904D2F"/>
    <w:rsid w:val="00905060"/>
    <w:rsid w:val="00905455"/>
    <w:rsid w:val="00905590"/>
    <w:rsid w:val="0090561D"/>
    <w:rsid w:val="009060E6"/>
    <w:rsid w:val="009065A2"/>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5C54"/>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A56"/>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1BC"/>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5EB"/>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2DA7"/>
    <w:rsid w:val="0097302D"/>
    <w:rsid w:val="00973040"/>
    <w:rsid w:val="009731F2"/>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40"/>
    <w:rsid w:val="00984B9A"/>
    <w:rsid w:val="00984C26"/>
    <w:rsid w:val="00984CD8"/>
    <w:rsid w:val="0098517F"/>
    <w:rsid w:val="0098525B"/>
    <w:rsid w:val="0098547B"/>
    <w:rsid w:val="00985487"/>
    <w:rsid w:val="00985717"/>
    <w:rsid w:val="00985770"/>
    <w:rsid w:val="009857D5"/>
    <w:rsid w:val="00985F0F"/>
    <w:rsid w:val="00986D96"/>
    <w:rsid w:val="0098720E"/>
    <w:rsid w:val="0098734F"/>
    <w:rsid w:val="0098755D"/>
    <w:rsid w:val="00987613"/>
    <w:rsid w:val="00987AE8"/>
    <w:rsid w:val="00990339"/>
    <w:rsid w:val="0099046B"/>
    <w:rsid w:val="00990B65"/>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A7E60"/>
    <w:rsid w:val="009B03AF"/>
    <w:rsid w:val="009B0549"/>
    <w:rsid w:val="009B0731"/>
    <w:rsid w:val="009B0996"/>
    <w:rsid w:val="009B0A9E"/>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54"/>
    <w:rsid w:val="009E00E3"/>
    <w:rsid w:val="009E07D9"/>
    <w:rsid w:val="009E0C0F"/>
    <w:rsid w:val="009E1169"/>
    <w:rsid w:val="009E152E"/>
    <w:rsid w:val="009E198A"/>
    <w:rsid w:val="009E1E87"/>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AD6"/>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B74"/>
    <w:rsid w:val="009F5DE8"/>
    <w:rsid w:val="009F5FA2"/>
    <w:rsid w:val="009F63C0"/>
    <w:rsid w:val="009F6733"/>
    <w:rsid w:val="009F6B90"/>
    <w:rsid w:val="009F6F88"/>
    <w:rsid w:val="009F708F"/>
    <w:rsid w:val="009F70D1"/>
    <w:rsid w:val="009F74E5"/>
    <w:rsid w:val="009F7D10"/>
    <w:rsid w:val="009F7FC3"/>
    <w:rsid w:val="00A00503"/>
    <w:rsid w:val="00A009FA"/>
    <w:rsid w:val="00A00C7C"/>
    <w:rsid w:val="00A00CE6"/>
    <w:rsid w:val="00A00DE4"/>
    <w:rsid w:val="00A00EF7"/>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F46"/>
    <w:rsid w:val="00A04255"/>
    <w:rsid w:val="00A0468B"/>
    <w:rsid w:val="00A0492A"/>
    <w:rsid w:val="00A0568E"/>
    <w:rsid w:val="00A05A3A"/>
    <w:rsid w:val="00A05CA3"/>
    <w:rsid w:val="00A05D15"/>
    <w:rsid w:val="00A05DFB"/>
    <w:rsid w:val="00A06460"/>
    <w:rsid w:val="00A06C22"/>
    <w:rsid w:val="00A06F37"/>
    <w:rsid w:val="00A07004"/>
    <w:rsid w:val="00A070DA"/>
    <w:rsid w:val="00A0778F"/>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2106"/>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582A"/>
    <w:rsid w:val="00A26006"/>
    <w:rsid w:val="00A26316"/>
    <w:rsid w:val="00A265A3"/>
    <w:rsid w:val="00A2677B"/>
    <w:rsid w:val="00A26789"/>
    <w:rsid w:val="00A26B70"/>
    <w:rsid w:val="00A26D4A"/>
    <w:rsid w:val="00A26EE3"/>
    <w:rsid w:val="00A26FD3"/>
    <w:rsid w:val="00A27159"/>
    <w:rsid w:val="00A272EF"/>
    <w:rsid w:val="00A27858"/>
    <w:rsid w:val="00A2797F"/>
    <w:rsid w:val="00A3070D"/>
    <w:rsid w:val="00A3078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1D"/>
    <w:rsid w:val="00A4777A"/>
    <w:rsid w:val="00A47C4F"/>
    <w:rsid w:val="00A47DC3"/>
    <w:rsid w:val="00A5010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A1"/>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2C"/>
    <w:rsid w:val="00A66BD7"/>
    <w:rsid w:val="00A66E83"/>
    <w:rsid w:val="00A671C5"/>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DDC"/>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5867"/>
    <w:rsid w:val="00A96694"/>
    <w:rsid w:val="00A96745"/>
    <w:rsid w:val="00A97111"/>
    <w:rsid w:val="00A9773B"/>
    <w:rsid w:val="00A97759"/>
    <w:rsid w:val="00A97A34"/>
    <w:rsid w:val="00A97CA0"/>
    <w:rsid w:val="00AA02D0"/>
    <w:rsid w:val="00AA0523"/>
    <w:rsid w:val="00AA06DF"/>
    <w:rsid w:val="00AA08C7"/>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8B2"/>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38D"/>
    <w:rsid w:val="00AC3690"/>
    <w:rsid w:val="00AC37E1"/>
    <w:rsid w:val="00AC3B26"/>
    <w:rsid w:val="00AC3C6A"/>
    <w:rsid w:val="00AC3D6A"/>
    <w:rsid w:val="00AC3EC5"/>
    <w:rsid w:val="00AC44A4"/>
    <w:rsid w:val="00AC4B99"/>
    <w:rsid w:val="00AC4D20"/>
    <w:rsid w:val="00AC4EE4"/>
    <w:rsid w:val="00AC5201"/>
    <w:rsid w:val="00AC5379"/>
    <w:rsid w:val="00AC53C8"/>
    <w:rsid w:val="00AC550F"/>
    <w:rsid w:val="00AC5535"/>
    <w:rsid w:val="00AC569F"/>
    <w:rsid w:val="00AC57ED"/>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1E"/>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279"/>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3F8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222"/>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6C4"/>
    <w:rsid w:val="00B22748"/>
    <w:rsid w:val="00B2288F"/>
    <w:rsid w:val="00B228C9"/>
    <w:rsid w:val="00B2292D"/>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3015D"/>
    <w:rsid w:val="00B3016F"/>
    <w:rsid w:val="00B30375"/>
    <w:rsid w:val="00B30499"/>
    <w:rsid w:val="00B30AF2"/>
    <w:rsid w:val="00B30DEF"/>
    <w:rsid w:val="00B317E6"/>
    <w:rsid w:val="00B318B5"/>
    <w:rsid w:val="00B31D3E"/>
    <w:rsid w:val="00B31DDE"/>
    <w:rsid w:val="00B31F4D"/>
    <w:rsid w:val="00B33139"/>
    <w:rsid w:val="00B33285"/>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A96"/>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5E15"/>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88"/>
    <w:rsid w:val="00BA17E8"/>
    <w:rsid w:val="00BA182B"/>
    <w:rsid w:val="00BA187D"/>
    <w:rsid w:val="00BA2264"/>
    <w:rsid w:val="00BA2393"/>
    <w:rsid w:val="00BA28B8"/>
    <w:rsid w:val="00BA297B"/>
    <w:rsid w:val="00BA33BD"/>
    <w:rsid w:val="00BA37BC"/>
    <w:rsid w:val="00BA3A00"/>
    <w:rsid w:val="00BA3BA4"/>
    <w:rsid w:val="00BA3F54"/>
    <w:rsid w:val="00BA3FD4"/>
    <w:rsid w:val="00BA4A48"/>
    <w:rsid w:val="00BA4A9F"/>
    <w:rsid w:val="00BA4D49"/>
    <w:rsid w:val="00BA4F2F"/>
    <w:rsid w:val="00BA4FE2"/>
    <w:rsid w:val="00BA50B6"/>
    <w:rsid w:val="00BA52BE"/>
    <w:rsid w:val="00BA56F4"/>
    <w:rsid w:val="00BA59CB"/>
    <w:rsid w:val="00BA5BA1"/>
    <w:rsid w:val="00BA5CED"/>
    <w:rsid w:val="00BA5D40"/>
    <w:rsid w:val="00BA60D7"/>
    <w:rsid w:val="00BA6194"/>
    <w:rsid w:val="00BA66E8"/>
    <w:rsid w:val="00BA6ACB"/>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B88"/>
    <w:rsid w:val="00BB3D7A"/>
    <w:rsid w:val="00BB41BC"/>
    <w:rsid w:val="00BB455F"/>
    <w:rsid w:val="00BB4873"/>
    <w:rsid w:val="00BB4E7D"/>
    <w:rsid w:val="00BB512A"/>
    <w:rsid w:val="00BB53F4"/>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67"/>
    <w:rsid w:val="00BC0ABC"/>
    <w:rsid w:val="00BC0B8F"/>
    <w:rsid w:val="00BC0EF7"/>
    <w:rsid w:val="00BC13AE"/>
    <w:rsid w:val="00BC1786"/>
    <w:rsid w:val="00BC1CB4"/>
    <w:rsid w:val="00BC1D8A"/>
    <w:rsid w:val="00BC2343"/>
    <w:rsid w:val="00BC2885"/>
    <w:rsid w:val="00BC2A6A"/>
    <w:rsid w:val="00BC2E53"/>
    <w:rsid w:val="00BC353F"/>
    <w:rsid w:val="00BC35AF"/>
    <w:rsid w:val="00BC371D"/>
    <w:rsid w:val="00BC3857"/>
    <w:rsid w:val="00BC3A2F"/>
    <w:rsid w:val="00BC3D7B"/>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99"/>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2D"/>
    <w:rsid w:val="00BD4C54"/>
    <w:rsid w:val="00BD4DB1"/>
    <w:rsid w:val="00BD4F0B"/>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301"/>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BF"/>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B58"/>
    <w:rsid w:val="00C02EE2"/>
    <w:rsid w:val="00C02F3C"/>
    <w:rsid w:val="00C0327F"/>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187"/>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15A"/>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6C"/>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3ACF"/>
    <w:rsid w:val="00C34BAF"/>
    <w:rsid w:val="00C34E4C"/>
    <w:rsid w:val="00C34E7E"/>
    <w:rsid w:val="00C35077"/>
    <w:rsid w:val="00C3518B"/>
    <w:rsid w:val="00C354E6"/>
    <w:rsid w:val="00C35693"/>
    <w:rsid w:val="00C3643A"/>
    <w:rsid w:val="00C36478"/>
    <w:rsid w:val="00C366CB"/>
    <w:rsid w:val="00C36778"/>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0C1"/>
    <w:rsid w:val="00C47167"/>
    <w:rsid w:val="00C47495"/>
    <w:rsid w:val="00C476B3"/>
    <w:rsid w:val="00C477B5"/>
    <w:rsid w:val="00C50148"/>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A8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7FC"/>
    <w:rsid w:val="00C83847"/>
    <w:rsid w:val="00C83C89"/>
    <w:rsid w:val="00C83CAD"/>
    <w:rsid w:val="00C83E5E"/>
    <w:rsid w:val="00C83E7B"/>
    <w:rsid w:val="00C84405"/>
    <w:rsid w:val="00C848F8"/>
    <w:rsid w:val="00C84A0F"/>
    <w:rsid w:val="00C84A5C"/>
    <w:rsid w:val="00C85258"/>
    <w:rsid w:val="00C853FD"/>
    <w:rsid w:val="00C85447"/>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1C3E"/>
    <w:rsid w:val="00C92255"/>
    <w:rsid w:val="00C927F9"/>
    <w:rsid w:val="00C92B54"/>
    <w:rsid w:val="00C93027"/>
    <w:rsid w:val="00C936AA"/>
    <w:rsid w:val="00C93870"/>
    <w:rsid w:val="00C93A2E"/>
    <w:rsid w:val="00C93B2A"/>
    <w:rsid w:val="00C93DB7"/>
    <w:rsid w:val="00C94070"/>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53D"/>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8F2"/>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95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741"/>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A26"/>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8FA"/>
    <w:rsid w:val="00CE2CD8"/>
    <w:rsid w:val="00CE2E71"/>
    <w:rsid w:val="00CE30A2"/>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0D71"/>
    <w:rsid w:val="00CF15C3"/>
    <w:rsid w:val="00CF18D9"/>
    <w:rsid w:val="00CF1985"/>
    <w:rsid w:val="00CF1A7E"/>
    <w:rsid w:val="00CF1B22"/>
    <w:rsid w:val="00CF1C69"/>
    <w:rsid w:val="00CF1C9C"/>
    <w:rsid w:val="00CF1E12"/>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54C"/>
    <w:rsid w:val="00CF5557"/>
    <w:rsid w:val="00CF56D6"/>
    <w:rsid w:val="00CF583F"/>
    <w:rsid w:val="00CF5966"/>
    <w:rsid w:val="00CF61A8"/>
    <w:rsid w:val="00CF6290"/>
    <w:rsid w:val="00CF63D3"/>
    <w:rsid w:val="00CF6596"/>
    <w:rsid w:val="00CF6782"/>
    <w:rsid w:val="00CF67BC"/>
    <w:rsid w:val="00CF6974"/>
    <w:rsid w:val="00CF6CCB"/>
    <w:rsid w:val="00CF70A9"/>
    <w:rsid w:val="00CF7452"/>
    <w:rsid w:val="00CF7562"/>
    <w:rsid w:val="00D00210"/>
    <w:rsid w:val="00D003F0"/>
    <w:rsid w:val="00D00BC9"/>
    <w:rsid w:val="00D0138A"/>
    <w:rsid w:val="00D01638"/>
    <w:rsid w:val="00D019FF"/>
    <w:rsid w:val="00D01FD5"/>
    <w:rsid w:val="00D027E0"/>
    <w:rsid w:val="00D029B1"/>
    <w:rsid w:val="00D02F36"/>
    <w:rsid w:val="00D032FB"/>
    <w:rsid w:val="00D034DA"/>
    <w:rsid w:val="00D03572"/>
    <w:rsid w:val="00D039B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1580"/>
    <w:rsid w:val="00D222F9"/>
    <w:rsid w:val="00D224C8"/>
    <w:rsid w:val="00D22631"/>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901"/>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2C8"/>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03"/>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59CC"/>
    <w:rsid w:val="00D55BDD"/>
    <w:rsid w:val="00D56995"/>
    <w:rsid w:val="00D572B9"/>
    <w:rsid w:val="00D57516"/>
    <w:rsid w:val="00D577DD"/>
    <w:rsid w:val="00D57A7B"/>
    <w:rsid w:val="00D57ADF"/>
    <w:rsid w:val="00D57B42"/>
    <w:rsid w:val="00D57B45"/>
    <w:rsid w:val="00D57BCD"/>
    <w:rsid w:val="00D600C2"/>
    <w:rsid w:val="00D603FF"/>
    <w:rsid w:val="00D60866"/>
    <w:rsid w:val="00D60A7B"/>
    <w:rsid w:val="00D60A7E"/>
    <w:rsid w:val="00D61140"/>
    <w:rsid w:val="00D61978"/>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40C"/>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E32"/>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7A3"/>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1D"/>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7D1"/>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06F"/>
    <w:rsid w:val="00DF726B"/>
    <w:rsid w:val="00DF72D6"/>
    <w:rsid w:val="00DF74B4"/>
    <w:rsid w:val="00DF74E8"/>
    <w:rsid w:val="00DF76CD"/>
    <w:rsid w:val="00DF7767"/>
    <w:rsid w:val="00DF779E"/>
    <w:rsid w:val="00DF7F6D"/>
    <w:rsid w:val="00E00726"/>
    <w:rsid w:val="00E00CEE"/>
    <w:rsid w:val="00E00E62"/>
    <w:rsid w:val="00E01935"/>
    <w:rsid w:val="00E01A38"/>
    <w:rsid w:val="00E01A3E"/>
    <w:rsid w:val="00E01CF1"/>
    <w:rsid w:val="00E02610"/>
    <w:rsid w:val="00E037AB"/>
    <w:rsid w:val="00E039C2"/>
    <w:rsid w:val="00E03F22"/>
    <w:rsid w:val="00E040F8"/>
    <w:rsid w:val="00E0415D"/>
    <w:rsid w:val="00E050CF"/>
    <w:rsid w:val="00E0525F"/>
    <w:rsid w:val="00E057B0"/>
    <w:rsid w:val="00E06723"/>
    <w:rsid w:val="00E068CB"/>
    <w:rsid w:val="00E06973"/>
    <w:rsid w:val="00E06C0A"/>
    <w:rsid w:val="00E0751E"/>
    <w:rsid w:val="00E077CA"/>
    <w:rsid w:val="00E07AA5"/>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09B"/>
    <w:rsid w:val="00E27372"/>
    <w:rsid w:val="00E2760F"/>
    <w:rsid w:val="00E2762A"/>
    <w:rsid w:val="00E27832"/>
    <w:rsid w:val="00E2783A"/>
    <w:rsid w:val="00E279F5"/>
    <w:rsid w:val="00E27AE1"/>
    <w:rsid w:val="00E27B96"/>
    <w:rsid w:val="00E300AD"/>
    <w:rsid w:val="00E3022E"/>
    <w:rsid w:val="00E3071B"/>
    <w:rsid w:val="00E313A3"/>
    <w:rsid w:val="00E318BC"/>
    <w:rsid w:val="00E31F42"/>
    <w:rsid w:val="00E32060"/>
    <w:rsid w:val="00E32141"/>
    <w:rsid w:val="00E32585"/>
    <w:rsid w:val="00E32A31"/>
    <w:rsid w:val="00E32B6E"/>
    <w:rsid w:val="00E32DC7"/>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6A9"/>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54E"/>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57E09"/>
    <w:rsid w:val="00E601AF"/>
    <w:rsid w:val="00E60A9C"/>
    <w:rsid w:val="00E60BDA"/>
    <w:rsid w:val="00E60D47"/>
    <w:rsid w:val="00E61042"/>
    <w:rsid w:val="00E6105A"/>
    <w:rsid w:val="00E61407"/>
    <w:rsid w:val="00E6146F"/>
    <w:rsid w:val="00E61543"/>
    <w:rsid w:val="00E61889"/>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1DEB"/>
    <w:rsid w:val="00E72588"/>
    <w:rsid w:val="00E72960"/>
    <w:rsid w:val="00E72BA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45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43C"/>
    <w:rsid w:val="00E86AE6"/>
    <w:rsid w:val="00E86DB0"/>
    <w:rsid w:val="00E86FAA"/>
    <w:rsid w:val="00E8727B"/>
    <w:rsid w:val="00E87D16"/>
    <w:rsid w:val="00E87DD1"/>
    <w:rsid w:val="00E904A2"/>
    <w:rsid w:val="00E9064F"/>
    <w:rsid w:val="00E91513"/>
    <w:rsid w:val="00E92328"/>
    <w:rsid w:val="00E924CF"/>
    <w:rsid w:val="00E92967"/>
    <w:rsid w:val="00E92C20"/>
    <w:rsid w:val="00E92F0F"/>
    <w:rsid w:val="00E935B0"/>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19B0"/>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0E9E"/>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016"/>
    <w:rsid w:val="00ED125E"/>
    <w:rsid w:val="00ED1798"/>
    <w:rsid w:val="00ED19A9"/>
    <w:rsid w:val="00ED203C"/>
    <w:rsid w:val="00ED2255"/>
    <w:rsid w:val="00ED254D"/>
    <w:rsid w:val="00ED2668"/>
    <w:rsid w:val="00ED2991"/>
    <w:rsid w:val="00ED2AC7"/>
    <w:rsid w:val="00ED3603"/>
    <w:rsid w:val="00ED3704"/>
    <w:rsid w:val="00ED3795"/>
    <w:rsid w:val="00ED3838"/>
    <w:rsid w:val="00ED3E2D"/>
    <w:rsid w:val="00ED4161"/>
    <w:rsid w:val="00ED4261"/>
    <w:rsid w:val="00ED44C2"/>
    <w:rsid w:val="00ED44F3"/>
    <w:rsid w:val="00ED4659"/>
    <w:rsid w:val="00ED4980"/>
    <w:rsid w:val="00ED4AA8"/>
    <w:rsid w:val="00ED4DA9"/>
    <w:rsid w:val="00ED5218"/>
    <w:rsid w:val="00ED52BF"/>
    <w:rsid w:val="00ED53F7"/>
    <w:rsid w:val="00ED59A1"/>
    <w:rsid w:val="00ED5C4B"/>
    <w:rsid w:val="00ED60E4"/>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BEC"/>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14C"/>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5F8"/>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710"/>
    <w:rsid w:val="00F028C7"/>
    <w:rsid w:val="00F0293B"/>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40F"/>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6B4"/>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11E"/>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982"/>
    <w:rsid w:val="00F65CDC"/>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DF9"/>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6B8"/>
    <w:rsid w:val="00F76744"/>
    <w:rsid w:val="00F76C9B"/>
    <w:rsid w:val="00F76FE5"/>
    <w:rsid w:val="00F77073"/>
    <w:rsid w:val="00F77167"/>
    <w:rsid w:val="00F77302"/>
    <w:rsid w:val="00F77523"/>
    <w:rsid w:val="00F80204"/>
    <w:rsid w:val="00F80366"/>
    <w:rsid w:val="00F80600"/>
    <w:rsid w:val="00F80723"/>
    <w:rsid w:val="00F807EB"/>
    <w:rsid w:val="00F8095E"/>
    <w:rsid w:val="00F80984"/>
    <w:rsid w:val="00F80C9E"/>
    <w:rsid w:val="00F80F69"/>
    <w:rsid w:val="00F81119"/>
    <w:rsid w:val="00F8141B"/>
    <w:rsid w:val="00F81C53"/>
    <w:rsid w:val="00F81F45"/>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6BB"/>
    <w:rsid w:val="00F8484B"/>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79E"/>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B80"/>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CCE"/>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6CA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55F"/>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9D"/>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6D"/>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列出段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5"/>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paragraph" w:styleId="af6">
    <w:name w:val="Normal (Web)"/>
    <w:basedOn w:val="a"/>
    <w:uiPriority w:val="99"/>
    <w:unhideWhenUsed/>
    <w:rsid w:val="001C5D6E"/>
    <w:pPr>
      <w:spacing w:before="100" w:beforeAutospacing="1" w:after="100" w:afterAutospacing="1"/>
    </w:pPr>
    <w:rPr>
      <w:rFonts w:ascii="宋体" w:hAnsi="宋体" w:cs="宋体"/>
      <w:sz w:val="24"/>
      <w:lang w:eastAsia="zh-CN"/>
    </w:rPr>
  </w:style>
  <w:style w:type="character" w:styleId="af7">
    <w:name w:val="Intense Emphasis"/>
    <w:uiPriority w:val="21"/>
    <w:qFormat/>
    <w:rsid w:val="00C837FC"/>
    <w:rPr>
      <w:i/>
      <w:iCs/>
      <w:color w:val="4472C4"/>
    </w:rPr>
  </w:style>
  <w:style w:type="paragraph" w:customStyle="1" w:styleId="Observation">
    <w:name w:val="Observation"/>
    <w:basedOn w:val="a"/>
    <w:qFormat/>
    <w:rsid w:val="00533335"/>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84349524">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198473">
      <w:bodyDiv w:val="1"/>
      <w:marLeft w:val="0"/>
      <w:marRight w:val="0"/>
      <w:marTop w:val="0"/>
      <w:marBottom w:val="0"/>
      <w:divBdr>
        <w:top w:val="none" w:sz="0" w:space="0" w:color="auto"/>
        <w:left w:val="none" w:sz="0" w:space="0" w:color="auto"/>
        <w:bottom w:val="none" w:sz="0" w:space="0" w:color="auto"/>
        <w:right w:val="none" w:sz="0" w:space="0" w:color="auto"/>
      </w:divBdr>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0185560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113">
      <w:bodyDiv w:val="1"/>
      <w:marLeft w:val="0"/>
      <w:marRight w:val="0"/>
      <w:marTop w:val="0"/>
      <w:marBottom w:val="0"/>
      <w:divBdr>
        <w:top w:val="none" w:sz="0" w:space="0" w:color="auto"/>
        <w:left w:val="none" w:sz="0" w:space="0" w:color="auto"/>
        <w:bottom w:val="none" w:sz="0" w:space="0" w:color="auto"/>
        <w:right w:val="none" w:sz="0" w:space="0" w:color="auto"/>
      </w:divBdr>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2910320">
      <w:bodyDiv w:val="1"/>
      <w:marLeft w:val="0"/>
      <w:marRight w:val="0"/>
      <w:marTop w:val="0"/>
      <w:marBottom w:val="0"/>
      <w:divBdr>
        <w:top w:val="none" w:sz="0" w:space="0" w:color="auto"/>
        <w:left w:val="none" w:sz="0" w:space="0" w:color="auto"/>
        <w:bottom w:val="none" w:sz="0" w:space="0" w:color="auto"/>
        <w:right w:val="none" w:sz="0" w:space="0" w:color="auto"/>
      </w:divBdr>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FCDBE-D377-41D9-9809-A12F78867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1</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文鸣</cp:lastModifiedBy>
  <cp:revision>143</cp:revision>
  <cp:lastPrinted>2020-07-22T11:45:00Z</cp:lastPrinted>
  <dcterms:created xsi:type="dcterms:W3CDTF">2020-10-21T06:49:00Z</dcterms:created>
  <dcterms:modified xsi:type="dcterms:W3CDTF">2021-04-02T02:08:00Z</dcterms:modified>
</cp:coreProperties>
</file>